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910" w:rsidRDefault="00C22910" w:rsidP="00603022">
      <w:pPr>
        <w:pStyle w:val="NormalWeb"/>
        <w:shd w:val="clear" w:color="auto" w:fill="FFFFFF"/>
        <w:tabs>
          <w:tab w:val="left" w:pos="6096"/>
        </w:tabs>
        <w:spacing w:before="0" w:beforeAutospacing="0" w:after="0" w:afterAutospacing="0"/>
        <w:jc w:val="center"/>
        <w:rPr>
          <w:rStyle w:val="Textoennegrita"/>
          <w:rFonts w:ascii="Arial" w:hAnsi="Arial" w:cs="Arial"/>
          <w:color w:val="000000"/>
          <w:sz w:val="22"/>
          <w:szCs w:val="22"/>
        </w:rPr>
      </w:pPr>
    </w:p>
    <w:p w:rsidR="00603022" w:rsidRPr="00F37E83" w:rsidRDefault="00603022" w:rsidP="00603022">
      <w:pPr>
        <w:pStyle w:val="NormalWeb"/>
        <w:shd w:val="clear" w:color="auto" w:fill="FFFFFF"/>
        <w:tabs>
          <w:tab w:val="left" w:pos="6096"/>
        </w:tabs>
        <w:spacing w:before="0" w:beforeAutospacing="0" w:after="0" w:afterAutospacing="0"/>
        <w:jc w:val="center"/>
        <w:rPr>
          <w:rFonts w:ascii="Arial" w:hAnsi="Arial" w:cs="Arial"/>
          <w:color w:val="000000"/>
          <w:sz w:val="22"/>
          <w:szCs w:val="22"/>
        </w:rPr>
      </w:pPr>
      <w:r w:rsidRPr="00F37E83">
        <w:rPr>
          <w:rStyle w:val="Textoennegrita"/>
          <w:rFonts w:ascii="Arial" w:hAnsi="Arial" w:cs="Arial"/>
          <w:color w:val="000000"/>
          <w:sz w:val="22"/>
          <w:szCs w:val="22"/>
        </w:rPr>
        <w:t>LEY 810 DE 2003</w:t>
      </w:r>
    </w:p>
    <w:p w:rsidR="00603022" w:rsidRPr="00BB77FE" w:rsidRDefault="00603022" w:rsidP="00603022">
      <w:pPr>
        <w:pStyle w:val="NormalWeb"/>
        <w:spacing w:before="0" w:beforeAutospacing="0" w:after="0" w:afterAutospacing="0"/>
        <w:jc w:val="center"/>
        <w:rPr>
          <w:rFonts w:ascii="Arial" w:hAnsi="Arial" w:cs="Arial"/>
          <w:bCs/>
          <w:sz w:val="22"/>
          <w:szCs w:val="22"/>
          <w:shd w:val="clear" w:color="auto" w:fill="FFFFFF"/>
        </w:rPr>
      </w:pPr>
      <w:r w:rsidRPr="00BB77FE">
        <w:rPr>
          <w:rFonts w:ascii="Arial" w:hAnsi="Arial" w:cs="Arial"/>
          <w:bCs/>
          <w:sz w:val="22"/>
          <w:szCs w:val="22"/>
          <w:shd w:val="clear" w:color="auto" w:fill="FFFFFF"/>
        </w:rPr>
        <w:t>(Junio 13)</w:t>
      </w:r>
    </w:p>
    <w:p w:rsidR="00603022" w:rsidRPr="00BB77FE" w:rsidRDefault="00603022" w:rsidP="00603022">
      <w:pPr>
        <w:pStyle w:val="NormalWeb"/>
        <w:spacing w:before="0" w:beforeAutospacing="0" w:after="0" w:afterAutospacing="0"/>
        <w:jc w:val="center"/>
        <w:rPr>
          <w:rFonts w:ascii="Arial" w:hAnsi="Arial" w:cs="Arial"/>
          <w:bCs/>
          <w:sz w:val="22"/>
          <w:szCs w:val="22"/>
          <w:shd w:val="clear" w:color="auto" w:fill="FFFFFF"/>
        </w:rPr>
      </w:pPr>
    </w:p>
    <w:p w:rsidR="00603022" w:rsidRPr="00BB77FE" w:rsidRDefault="00603022" w:rsidP="00603022">
      <w:pPr>
        <w:pStyle w:val="NormalWeb"/>
        <w:spacing w:before="0" w:beforeAutospacing="0" w:after="0" w:afterAutospacing="0"/>
        <w:jc w:val="center"/>
        <w:rPr>
          <w:rFonts w:ascii="Arial" w:hAnsi="Arial" w:cs="Arial"/>
          <w:bCs/>
          <w:sz w:val="22"/>
          <w:szCs w:val="22"/>
          <w:shd w:val="clear" w:color="auto" w:fill="FFFFFF"/>
        </w:rPr>
      </w:pPr>
      <w:r w:rsidRPr="00BB77FE">
        <w:rPr>
          <w:rFonts w:ascii="Arial" w:hAnsi="Arial" w:cs="Arial"/>
          <w:bCs/>
          <w:sz w:val="22"/>
          <w:szCs w:val="22"/>
          <w:shd w:val="clear" w:color="auto" w:fill="FFFFFF"/>
        </w:rPr>
        <w:t>Por medio de la cual se modifica la Ley 388 de 1997 en materia de sanciones urbanísticas y algunas actuaciones de los curadores urbanos y se dictan otras disposiciones.</w:t>
      </w:r>
      <w:r w:rsidRPr="00BB77FE">
        <w:rPr>
          <w:rFonts w:ascii="Arial" w:hAnsi="Arial" w:cs="Arial"/>
          <w:bCs/>
          <w:sz w:val="22"/>
          <w:szCs w:val="22"/>
          <w:shd w:val="clear" w:color="auto" w:fill="FFFFFF"/>
        </w:rPr>
        <w:softHyphen/>
      </w:r>
    </w:p>
    <w:p w:rsidR="00C22910" w:rsidRPr="00721721" w:rsidRDefault="00C22910" w:rsidP="00C22910">
      <w:pPr>
        <w:pStyle w:val="NormalWeb"/>
        <w:shd w:val="clear" w:color="auto" w:fill="FFFFFF"/>
        <w:spacing w:before="0" w:beforeAutospacing="0" w:after="0" w:afterAutospacing="0"/>
        <w:jc w:val="both"/>
        <w:textAlignment w:val="baseline"/>
        <w:rPr>
          <w:rFonts w:ascii="Ebrima" w:hAnsi="Ebrima"/>
          <w:color w:val="000080"/>
          <w:sz w:val="22"/>
          <w:szCs w:val="22"/>
          <w:bdr w:val="none" w:sz="0" w:space="0" w:color="auto" w:frame="1"/>
        </w:rPr>
      </w:pPr>
    </w:p>
    <w:tbl>
      <w:tblPr>
        <w:tblW w:w="5000" w:type="pct"/>
        <w:tblCellMar>
          <w:left w:w="70" w:type="dxa"/>
          <w:right w:w="70" w:type="dxa"/>
        </w:tblCellMar>
        <w:tblLook w:val="04A0" w:firstRow="1" w:lastRow="0" w:firstColumn="1" w:lastColumn="0" w:noHBand="0" w:noVBand="1"/>
      </w:tblPr>
      <w:tblGrid>
        <w:gridCol w:w="10112"/>
      </w:tblGrid>
      <w:tr w:rsidR="00C22910" w:rsidRPr="00721721" w:rsidTr="005A2775">
        <w:trPr>
          <w:trHeight w:val="196"/>
        </w:trPr>
        <w:tc>
          <w:tcPr>
            <w:tcW w:w="5000" w:type="pct"/>
            <w:shd w:val="clear" w:color="000000" w:fill="8AEEF9"/>
            <w:vAlign w:val="bottom"/>
            <w:hideMark/>
          </w:tcPr>
          <w:p w:rsidR="00C22910" w:rsidRPr="00721721" w:rsidRDefault="00C22910" w:rsidP="00C22910">
            <w:pPr>
              <w:spacing w:after="0" w:line="240" w:lineRule="auto"/>
              <w:jc w:val="both"/>
              <w:rPr>
                <w:rFonts w:ascii="Ebrima" w:eastAsia="Times New Roman" w:hAnsi="Ebrima" w:cs="Times New Roman"/>
                <w:b/>
                <w:bCs/>
                <w:i/>
                <w:iCs/>
                <w:color w:val="FFFFFF"/>
              </w:rPr>
            </w:pPr>
            <w:r>
              <w:rPr>
                <w:rFonts w:ascii="Ebrima" w:eastAsia="Times New Roman" w:hAnsi="Ebrima" w:cs="Times New Roman"/>
                <w:b/>
                <w:bCs/>
                <w:i/>
                <w:iCs/>
                <w:color w:val="FFFFFF"/>
              </w:rPr>
              <w:t>NOTA: Los artículos 1 y 2 de esta ley son derogados por e</w:t>
            </w:r>
            <w:r w:rsidRPr="00356EE7">
              <w:rPr>
                <w:rFonts w:ascii="Ebrima" w:eastAsia="Times New Roman" w:hAnsi="Ebrima" w:cs="Times New Roman"/>
                <w:b/>
                <w:bCs/>
                <w:i/>
                <w:iCs/>
                <w:color w:val="FFFFFF"/>
              </w:rPr>
              <w:t xml:space="preserve">l nuevo Código Nacional de Policía y Convivencia, adoptado mediante Ley 1801 de 2016 </w:t>
            </w:r>
            <w:r w:rsidRPr="00356EE7">
              <w:rPr>
                <w:rFonts w:ascii="Ebrima" w:eastAsia="Times New Roman" w:hAnsi="Ebrima" w:cs="Times New Roman"/>
                <w:bCs/>
                <w:i/>
                <w:iCs/>
                <w:color w:val="FFFFFF"/>
              </w:rPr>
              <w:t>(que entrar</w:t>
            </w:r>
            <w:r>
              <w:rPr>
                <w:rFonts w:ascii="Ebrima" w:eastAsia="Times New Roman" w:hAnsi="Ebrima" w:cs="Times New Roman"/>
                <w:bCs/>
                <w:i/>
                <w:iCs/>
                <w:color w:val="FFFFFF"/>
              </w:rPr>
              <w:t>á a regir en enero de 2017)</w:t>
            </w:r>
            <w:r w:rsidRPr="00356EE7">
              <w:rPr>
                <w:rFonts w:ascii="Ebrima" w:eastAsia="Times New Roman" w:hAnsi="Ebrima" w:cs="Times New Roman"/>
                <w:b/>
                <w:bCs/>
                <w:i/>
                <w:iCs/>
                <w:color w:val="FFFFFF"/>
              </w:rPr>
              <w:t>.</w:t>
            </w:r>
            <w:r>
              <w:rPr>
                <w:rFonts w:ascii="Ebrima" w:eastAsia="Times New Roman" w:hAnsi="Ebrima" w:cs="Times New Roman"/>
                <w:b/>
                <w:bCs/>
                <w:i/>
                <w:iCs/>
                <w:color w:val="FFFFFF"/>
              </w:rPr>
              <w:t xml:space="preserve"> </w:t>
            </w:r>
            <w:r w:rsidRPr="00356EE7">
              <w:rPr>
                <w:rFonts w:ascii="Ebrima" w:eastAsia="Times New Roman" w:hAnsi="Ebrima" w:cs="Times New Roman"/>
                <w:bCs/>
                <w:i/>
                <w:iCs/>
                <w:color w:val="FFFFFF"/>
              </w:rPr>
              <w:t>Consúltalo en nuestra web en</w:t>
            </w:r>
            <w:r>
              <w:rPr>
                <w:rFonts w:ascii="Ebrima" w:eastAsia="Times New Roman" w:hAnsi="Ebrima" w:cs="Times New Roman"/>
                <w:b/>
                <w:bCs/>
                <w:i/>
                <w:iCs/>
                <w:color w:val="FFFFFF"/>
              </w:rPr>
              <w:t xml:space="preserve"> </w:t>
            </w:r>
            <w:r w:rsidRPr="00356EE7">
              <w:rPr>
                <w:rFonts w:ascii="Ebrima" w:eastAsia="Times New Roman" w:hAnsi="Ebrima" w:cs="Times New Roman"/>
                <w:b/>
                <w:bCs/>
                <w:i/>
                <w:iCs/>
                <w:color w:val="FFFFFF"/>
                <w:u w:val="single"/>
              </w:rPr>
              <w:t>Documentos</w:t>
            </w:r>
            <w:r>
              <w:rPr>
                <w:rFonts w:ascii="Ebrima" w:eastAsia="Times New Roman" w:hAnsi="Ebrima" w:cs="Times New Roman"/>
                <w:b/>
                <w:bCs/>
                <w:i/>
                <w:iCs/>
                <w:color w:val="FFFFFF"/>
              </w:rPr>
              <w:t>.</w:t>
            </w:r>
          </w:p>
        </w:tc>
      </w:tr>
    </w:tbl>
    <w:p w:rsidR="00C22910" w:rsidRPr="00721721" w:rsidRDefault="00C22910" w:rsidP="00C22910">
      <w:pPr>
        <w:pStyle w:val="centrado"/>
        <w:shd w:val="clear" w:color="auto" w:fill="FFFFFF"/>
        <w:spacing w:before="0" w:beforeAutospacing="0" w:after="0" w:afterAutospacing="0"/>
        <w:textAlignment w:val="baseline"/>
        <w:rPr>
          <w:rStyle w:val="destacadoajletra14pt"/>
          <w:rFonts w:ascii="Ebrima" w:hAnsi="Ebrima"/>
          <w:b/>
          <w:bCs/>
          <w:color w:val="808080"/>
          <w:sz w:val="22"/>
          <w:szCs w:val="22"/>
          <w:bdr w:val="none" w:sz="0" w:space="0" w:color="auto" w:frame="1"/>
        </w:rPr>
      </w:pPr>
    </w:p>
    <w:p w:rsidR="00603022" w:rsidRPr="00BB77FE" w:rsidRDefault="00603022" w:rsidP="00603022">
      <w:pPr>
        <w:pStyle w:val="NormalWeb"/>
        <w:spacing w:before="0" w:beforeAutospacing="0" w:after="0" w:afterAutospacing="0"/>
        <w:jc w:val="center"/>
        <w:rPr>
          <w:rFonts w:ascii="Arial" w:hAnsi="Arial" w:cs="Arial"/>
          <w:b/>
          <w:bCs/>
          <w:sz w:val="22"/>
          <w:szCs w:val="22"/>
          <w:shd w:val="clear" w:color="auto" w:fill="FFFFFF"/>
        </w:rPr>
      </w:pPr>
      <w:r w:rsidRPr="00BB77FE">
        <w:rPr>
          <w:rFonts w:ascii="Arial" w:hAnsi="Arial" w:cs="Arial"/>
          <w:b/>
          <w:bCs/>
          <w:sz w:val="22"/>
          <w:szCs w:val="22"/>
          <w:shd w:val="clear" w:color="auto" w:fill="FFFFFF"/>
        </w:rPr>
        <w:t>El Congreso de Colombia</w:t>
      </w:r>
    </w:p>
    <w:p w:rsidR="00603022" w:rsidRPr="00BB77FE" w:rsidRDefault="00603022" w:rsidP="00603022">
      <w:pPr>
        <w:pStyle w:val="NormalWeb"/>
        <w:spacing w:before="0" w:beforeAutospacing="0" w:after="0" w:afterAutospacing="0"/>
        <w:jc w:val="center"/>
        <w:rPr>
          <w:rFonts w:ascii="Arial" w:hAnsi="Arial" w:cs="Arial"/>
          <w:b/>
          <w:bCs/>
          <w:sz w:val="22"/>
          <w:szCs w:val="22"/>
          <w:shd w:val="clear" w:color="auto" w:fill="FFFFFF"/>
        </w:rPr>
      </w:pPr>
      <w:r w:rsidRPr="00BB77FE">
        <w:rPr>
          <w:rFonts w:ascii="Arial" w:hAnsi="Arial" w:cs="Arial"/>
          <w:b/>
          <w:bCs/>
          <w:sz w:val="22"/>
          <w:szCs w:val="22"/>
          <w:shd w:val="clear" w:color="auto" w:fill="FFFFFF"/>
        </w:rPr>
        <w:t>DECRETA:</w:t>
      </w:r>
      <w:bookmarkStart w:id="0" w:name="_GoBack"/>
      <w:bookmarkEnd w:id="0"/>
    </w:p>
    <w:p w:rsidR="00603022" w:rsidRPr="00BB77FE" w:rsidRDefault="00603022" w:rsidP="00603022">
      <w:pPr>
        <w:pStyle w:val="NormalWeb"/>
        <w:spacing w:before="0" w:beforeAutospacing="0" w:after="0" w:afterAutospacing="0"/>
        <w:jc w:val="both"/>
        <w:rPr>
          <w:rFonts w:ascii="Arial" w:hAnsi="Arial" w:cs="Arial"/>
          <w:b/>
          <w:bCs/>
          <w:sz w:val="22"/>
          <w:szCs w:val="22"/>
          <w:shd w:val="clear" w:color="auto" w:fill="FFFFFF"/>
        </w:rPr>
      </w:pPr>
    </w:p>
    <w:p w:rsidR="00603022" w:rsidRPr="00C25515" w:rsidRDefault="00603022" w:rsidP="00603022">
      <w:pPr>
        <w:pStyle w:val="NormalWeb"/>
        <w:spacing w:before="0" w:beforeAutospacing="0" w:after="0" w:afterAutospacing="0"/>
        <w:jc w:val="both"/>
        <w:rPr>
          <w:rFonts w:ascii="Arial" w:hAnsi="Arial" w:cs="Arial"/>
          <w:color w:val="00AFF0"/>
          <w:sz w:val="22"/>
          <w:szCs w:val="22"/>
          <w:shd w:val="clear" w:color="auto" w:fill="FFFFFF"/>
        </w:rPr>
      </w:pPr>
      <w:r w:rsidRPr="00BB77FE">
        <w:rPr>
          <w:rFonts w:ascii="Arial" w:hAnsi="Arial" w:cs="Arial"/>
          <w:b/>
          <w:bCs/>
          <w:sz w:val="22"/>
          <w:szCs w:val="22"/>
          <w:shd w:val="clear" w:color="auto" w:fill="FFFFFF"/>
        </w:rPr>
        <w:t xml:space="preserve">Artículo 1. </w:t>
      </w:r>
      <w:r w:rsidRPr="00C25515">
        <w:rPr>
          <w:rFonts w:ascii="Arial" w:hAnsi="Arial" w:cs="Arial"/>
          <w:color w:val="00AFF0"/>
          <w:sz w:val="22"/>
          <w:szCs w:val="22"/>
          <w:shd w:val="clear" w:color="auto" w:fill="FFFFFF"/>
        </w:rPr>
        <w:t>El Artículo</w:t>
      </w:r>
      <w:r w:rsidRPr="00C25515">
        <w:rPr>
          <w:rStyle w:val="apple-converted-space"/>
          <w:rFonts w:ascii="Arial" w:hAnsi="Arial" w:cs="Arial"/>
          <w:color w:val="00AFF0"/>
          <w:sz w:val="22"/>
          <w:szCs w:val="22"/>
          <w:shd w:val="clear" w:color="auto" w:fill="FFFFFF"/>
        </w:rPr>
        <w:t> </w:t>
      </w:r>
      <w:hyperlink r:id="rId8" w:anchor="103" w:history="1">
        <w:r w:rsidRPr="00C25515">
          <w:rPr>
            <w:rStyle w:val="Hipervnculo"/>
            <w:rFonts w:ascii="Arial" w:hAnsi="Arial" w:cs="Arial"/>
            <w:color w:val="00AFF0"/>
            <w:sz w:val="22"/>
            <w:szCs w:val="22"/>
            <w:u w:val="none"/>
            <w:shd w:val="clear" w:color="auto" w:fill="FFFFFF"/>
          </w:rPr>
          <w:t>103</w:t>
        </w:r>
      </w:hyperlink>
      <w:r w:rsidRPr="00C25515">
        <w:rPr>
          <w:rStyle w:val="apple-converted-space"/>
          <w:rFonts w:ascii="Arial" w:hAnsi="Arial" w:cs="Arial"/>
          <w:color w:val="00AFF0"/>
          <w:sz w:val="22"/>
          <w:szCs w:val="22"/>
          <w:shd w:val="clear" w:color="auto" w:fill="FFFFFF"/>
        </w:rPr>
        <w:t> </w:t>
      </w:r>
      <w:r w:rsidRPr="00C25515">
        <w:rPr>
          <w:rFonts w:ascii="Arial" w:hAnsi="Arial" w:cs="Arial"/>
          <w:color w:val="00AFF0"/>
          <w:sz w:val="22"/>
          <w:szCs w:val="22"/>
          <w:shd w:val="clear" w:color="auto" w:fill="FFFFFF"/>
        </w:rPr>
        <w:t>de la Ley 388 de 1997 quedará así:</w:t>
      </w: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r w:rsidRPr="00C25515">
        <w:rPr>
          <w:rStyle w:val="Textoennegrita"/>
          <w:rFonts w:ascii="Arial" w:hAnsi="Arial" w:cs="Arial"/>
          <w:i/>
          <w:color w:val="00AFF0"/>
          <w:sz w:val="22"/>
          <w:szCs w:val="22"/>
          <w:shd w:val="clear" w:color="auto" w:fill="FFFFFF"/>
        </w:rPr>
        <w:t>Artículo 103.</w:t>
      </w:r>
      <w:r w:rsidRPr="00C25515">
        <w:rPr>
          <w:rStyle w:val="apple-converted-space"/>
          <w:rFonts w:ascii="Arial" w:hAnsi="Arial" w:cs="Arial"/>
          <w:b/>
          <w:bCs/>
          <w:i/>
          <w:color w:val="00AFF0"/>
          <w:sz w:val="22"/>
          <w:szCs w:val="22"/>
          <w:shd w:val="clear" w:color="auto" w:fill="FFFFFF"/>
        </w:rPr>
        <w:t> </w:t>
      </w:r>
      <w:r w:rsidRPr="00C25515">
        <w:rPr>
          <w:rStyle w:val="Textoennegrita"/>
          <w:rFonts w:ascii="Arial" w:hAnsi="Arial" w:cs="Arial"/>
          <w:i/>
          <w:iCs/>
          <w:color w:val="00AFF0"/>
          <w:sz w:val="22"/>
          <w:szCs w:val="22"/>
          <w:shd w:val="clear" w:color="auto" w:fill="FFFFFF"/>
        </w:rPr>
        <w:t>Infracciones urbanísticas</w:t>
      </w:r>
      <w:r w:rsidRPr="00BB77FE">
        <w:rPr>
          <w:rStyle w:val="Textoennegrita"/>
          <w:rFonts w:ascii="Arial" w:hAnsi="Arial" w:cs="Arial"/>
          <w:i/>
          <w:iCs/>
          <w:sz w:val="22"/>
          <w:szCs w:val="22"/>
          <w:shd w:val="clear" w:color="auto" w:fill="FFFFFF"/>
        </w:rPr>
        <w:t>.</w:t>
      </w:r>
      <w:r w:rsidRPr="00BB77FE">
        <w:rPr>
          <w:rStyle w:val="apple-converted-space"/>
          <w:rFonts w:ascii="Arial" w:hAnsi="Arial" w:cs="Arial"/>
          <w:b/>
          <w:bCs/>
          <w:i/>
          <w:iCs/>
          <w:sz w:val="22"/>
          <w:szCs w:val="22"/>
          <w:shd w:val="clear" w:color="auto" w:fill="FFFFFF"/>
        </w:rPr>
        <w:t> </w:t>
      </w:r>
      <w:r w:rsidRPr="00BB77FE">
        <w:rPr>
          <w:rFonts w:ascii="Arial" w:hAnsi="Arial" w:cs="Arial"/>
          <w:i/>
          <w:sz w:val="22"/>
          <w:szCs w:val="22"/>
          <w:shd w:val="clear" w:color="auto" w:fill="FFFFFF"/>
        </w:rPr>
        <w:t>Toda actuación de construcción, ampliación, modificación, adecuación y demolición de edificaciones, de urbanización y parcelación, que contravenga los planes de ordenamiento territorial y las normas urbanísticas que los desarrollan y complementan incluyendo los planes parciales, dará lugar a la imposición de sanciones urbanísticas a los responsables, incluyendo la demolición de las obras, según sea el caso, sin perjuicio de la eventual responsabilidad civil y penal de los infractores. Para efectos de la aplicación de las sanciones estas infracciones se considerarán graves o leves, según se afecte el interés tutelado por dichas normas.</w:t>
      </w: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r w:rsidRPr="00BB77FE">
        <w:rPr>
          <w:rFonts w:ascii="Arial" w:hAnsi="Arial" w:cs="Arial"/>
          <w:i/>
          <w:sz w:val="22"/>
          <w:szCs w:val="22"/>
          <w:shd w:val="clear" w:color="auto" w:fill="FFFFFF"/>
        </w:rPr>
        <w:t xml:space="preserve">Se considera igualmente infracción urbanística, la localización de establecimientos comerciales, industriales, institucionales y de servicios en contravención a las normas de usos del suelo, lo mismo que el encerramiento, la intervención o la ocupación temporal o permanente del espacio público con cualquier tipo de </w:t>
      </w:r>
      <w:proofErr w:type="spellStart"/>
      <w:r w:rsidRPr="00BB77FE">
        <w:rPr>
          <w:rFonts w:ascii="Arial" w:hAnsi="Arial" w:cs="Arial"/>
          <w:i/>
          <w:sz w:val="22"/>
          <w:szCs w:val="22"/>
          <w:shd w:val="clear" w:color="auto" w:fill="FFFFFF"/>
        </w:rPr>
        <w:t>amoblamiento</w:t>
      </w:r>
      <w:proofErr w:type="spellEnd"/>
      <w:r w:rsidRPr="00BB77FE">
        <w:rPr>
          <w:rFonts w:ascii="Arial" w:hAnsi="Arial" w:cs="Arial"/>
          <w:i/>
          <w:sz w:val="22"/>
          <w:szCs w:val="22"/>
          <w:shd w:val="clear" w:color="auto" w:fill="FFFFFF"/>
        </w:rPr>
        <w:t>, instalaciones o construcciones, sin la respectiva licencia.</w:t>
      </w:r>
    </w:p>
    <w:p w:rsidR="00603022" w:rsidRPr="00BB77FE" w:rsidRDefault="00603022" w:rsidP="00603022">
      <w:pPr>
        <w:pStyle w:val="NormalWeb"/>
        <w:spacing w:before="0" w:beforeAutospacing="0" w:after="0" w:afterAutospacing="0"/>
        <w:ind w:left="708" w:firstLine="708"/>
        <w:jc w:val="both"/>
        <w:rPr>
          <w:rFonts w:ascii="Arial" w:hAnsi="Arial" w:cs="Arial"/>
          <w:i/>
          <w:sz w:val="22"/>
          <w:szCs w:val="22"/>
          <w:shd w:val="clear" w:color="auto" w:fill="FFFFFF"/>
        </w:rPr>
      </w:pP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r w:rsidRPr="00BB77FE">
        <w:rPr>
          <w:rFonts w:ascii="Arial" w:hAnsi="Arial" w:cs="Arial"/>
          <w:i/>
          <w:sz w:val="22"/>
          <w:szCs w:val="22"/>
          <w:shd w:val="clear" w:color="auto" w:fill="FFFFFF"/>
        </w:rPr>
        <w:t xml:space="preserve">Los municipios y distritos establecerán qué tipo de </w:t>
      </w:r>
      <w:proofErr w:type="spellStart"/>
      <w:r w:rsidRPr="00BB77FE">
        <w:rPr>
          <w:rFonts w:ascii="Arial" w:hAnsi="Arial" w:cs="Arial"/>
          <w:i/>
          <w:sz w:val="22"/>
          <w:szCs w:val="22"/>
          <w:shd w:val="clear" w:color="auto" w:fill="FFFFFF"/>
        </w:rPr>
        <w:t>amoblamiento</w:t>
      </w:r>
      <w:proofErr w:type="spellEnd"/>
      <w:r w:rsidRPr="00BB77FE">
        <w:rPr>
          <w:rFonts w:ascii="Arial" w:hAnsi="Arial" w:cs="Arial"/>
          <w:i/>
          <w:sz w:val="22"/>
          <w:szCs w:val="22"/>
          <w:shd w:val="clear" w:color="auto" w:fill="FFFFFF"/>
        </w:rPr>
        <w:t xml:space="preserve"> sobre el espacio público requiere de la licencia** a que se refiere este artículo, así como los procedimientos y condiciones para su expedición.</w:t>
      </w: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r w:rsidRPr="00BB77FE">
        <w:rPr>
          <w:rFonts w:ascii="Arial" w:hAnsi="Arial" w:cs="Arial"/>
          <w:i/>
          <w:sz w:val="22"/>
          <w:szCs w:val="22"/>
          <w:shd w:val="clear" w:color="auto" w:fill="FFFFFF"/>
        </w:rPr>
        <w:t>En los casos de actuaciones urbanísticas, respecto de las cuales no se acredite la existencia de la licencia correspondiente* o que no se ajuste a ella, el alcalde o su delegado, de oficio o a petición de parte, dispondrá la medida policiva de suspensión inmediata de todas las obras respectivas, hasta cuando se acredite plenamente que han cesado las causas que hubieren dado lugar a la medida.</w:t>
      </w: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p>
    <w:p w:rsidR="00603022" w:rsidRPr="00BB77FE" w:rsidRDefault="00603022" w:rsidP="00603022">
      <w:pPr>
        <w:pStyle w:val="NormalWeb"/>
        <w:spacing w:before="0" w:beforeAutospacing="0" w:after="0" w:afterAutospacing="0"/>
        <w:ind w:left="708"/>
        <w:jc w:val="both"/>
        <w:rPr>
          <w:rFonts w:ascii="Arial" w:hAnsi="Arial" w:cs="Arial"/>
          <w:sz w:val="22"/>
          <w:szCs w:val="22"/>
          <w:shd w:val="clear" w:color="auto" w:fill="FFFFFF"/>
        </w:rPr>
      </w:pPr>
      <w:r w:rsidRPr="00BB77FE">
        <w:rPr>
          <w:rFonts w:ascii="Arial" w:hAnsi="Arial" w:cs="Arial"/>
          <w:i/>
          <w:sz w:val="22"/>
          <w:szCs w:val="22"/>
          <w:shd w:val="clear" w:color="auto" w:fill="FFFFFF"/>
        </w:rPr>
        <w:t>En el caso del Distrito Capital, la competencia para adelantar la suspensión de obras a que se refiere este artículo, corresponde a los alcaldes locales, de conformidad con lo dispuesto en el Estatuto Orgánico del Distrito Capital.</w:t>
      </w:r>
    </w:p>
    <w:p w:rsidR="00603022" w:rsidRPr="00BB77FE" w:rsidRDefault="00603022" w:rsidP="00603022">
      <w:pPr>
        <w:pStyle w:val="NormalWeb"/>
        <w:spacing w:before="0" w:beforeAutospacing="0" w:after="0" w:afterAutospacing="0"/>
        <w:jc w:val="both"/>
        <w:rPr>
          <w:rFonts w:ascii="Arial" w:hAnsi="Arial" w:cs="Arial"/>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603022" w:rsidRPr="00C22910" w:rsidTr="004978AF">
        <w:tc>
          <w:tcPr>
            <w:tcW w:w="5000" w:type="pct"/>
            <w:shd w:val="clear" w:color="auto" w:fill="E4F9B1"/>
          </w:tcPr>
          <w:p w:rsidR="00603022" w:rsidRPr="00C22910" w:rsidRDefault="00603022" w:rsidP="004978AF">
            <w:pPr>
              <w:jc w:val="both"/>
              <w:rPr>
                <w:rFonts w:ascii="Agency FB" w:hAnsi="Agency FB" w:cs="Aparajita"/>
                <w:b/>
              </w:rPr>
            </w:pPr>
            <w:r w:rsidRPr="00C22910">
              <w:rPr>
                <w:rFonts w:ascii="Agency FB" w:hAnsi="Agency FB" w:cs="Aparajita"/>
                <w:b/>
              </w:rPr>
              <w:t xml:space="preserve">** Concordancia. Sobre licencias de intervención en espacio público, el Decreto </w:t>
            </w:r>
            <w:r w:rsidR="00C22910" w:rsidRPr="00C22910">
              <w:rPr>
                <w:rFonts w:ascii="Agency FB" w:hAnsi="Agency FB" w:cs="Aparajita"/>
                <w:b/>
              </w:rPr>
              <w:t xml:space="preserve">Único 1077 </w:t>
            </w:r>
            <w:r w:rsidRPr="00C22910">
              <w:rPr>
                <w:rFonts w:ascii="Agency FB" w:hAnsi="Agency FB" w:cs="Aparajita"/>
                <w:b/>
              </w:rPr>
              <w:t>de 201</w:t>
            </w:r>
            <w:r w:rsidR="00C22910" w:rsidRPr="00C22910">
              <w:rPr>
                <w:rFonts w:ascii="Agency FB" w:hAnsi="Agency FB" w:cs="Aparajita"/>
                <w:b/>
              </w:rPr>
              <w:t>5</w:t>
            </w:r>
            <w:r w:rsidRPr="00C22910">
              <w:rPr>
                <w:rFonts w:ascii="Agency FB" w:hAnsi="Agency FB" w:cs="Aparajita"/>
                <w:b/>
              </w:rPr>
              <w:t xml:space="preserve"> señala:</w:t>
            </w:r>
          </w:p>
          <w:p w:rsidR="00C22910" w:rsidRPr="00C22910" w:rsidRDefault="00C22910" w:rsidP="004978AF">
            <w:pPr>
              <w:jc w:val="both"/>
              <w:rPr>
                <w:rFonts w:ascii="Agency FB" w:hAnsi="Agency FB" w:cs="Aparajita"/>
                <w:b/>
                <w:sz w:val="20"/>
                <w:szCs w:val="20"/>
              </w:rPr>
            </w:pPr>
          </w:p>
          <w:p w:rsidR="00C22910" w:rsidRPr="00C22910" w:rsidRDefault="00C22910" w:rsidP="00C22910">
            <w:pPr>
              <w:jc w:val="both"/>
              <w:rPr>
                <w:rFonts w:ascii="Aparajita" w:hAnsi="Aparajita" w:cs="Aparajita"/>
                <w:sz w:val="20"/>
                <w:szCs w:val="20"/>
              </w:rPr>
            </w:pPr>
            <w:r w:rsidRPr="00C22910">
              <w:rPr>
                <w:rFonts w:ascii="Aparajita" w:hAnsi="Aparajita" w:cs="Aparajita"/>
                <w:b/>
                <w:sz w:val="20"/>
                <w:szCs w:val="20"/>
              </w:rPr>
              <w:t>ARTÍCULO 2.2.6.1.1.12 Licencia de intervención y ocupación del espacio público.</w:t>
            </w:r>
            <w:r w:rsidRPr="00C22910">
              <w:rPr>
                <w:rFonts w:ascii="Aparajita" w:hAnsi="Aparajita" w:cs="Aparajita"/>
                <w:sz w:val="20"/>
                <w:szCs w:val="20"/>
              </w:rPr>
              <w:t xml:space="preserve"> Es la autorización previa para ocupar o para intervenir bienes de uso público incluidos en el espacio público, de conformidad con las normas urbanísticas adoptadas en el Plan de Ordenamiento Territorial, en los </w:t>
            </w:r>
            <w:r w:rsidRPr="00C22910">
              <w:rPr>
                <w:rFonts w:ascii="Aparajita" w:hAnsi="Aparajita" w:cs="Aparajita"/>
                <w:sz w:val="20"/>
                <w:szCs w:val="20"/>
              </w:rPr>
              <w:lastRenderedPageBreak/>
              <w:t>instrumentos que lo desarrollen y complementen y demás normatividad vigente.</w:t>
            </w:r>
          </w:p>
          <w:p w:rsidR="00C22910" w:rsidRDefault="00C22910" w:rsidP="00C22910">
            <w:pPr>
              <w:jc w:val="both"/>
              <w:rPr>
                <w:rFonts w:ascii="Aparajita" w:hAnsi="Aparajita" w:cs="Aparajita"/>
                <w:sz w:val="20"/>
                <w:szCs w:val="20"/>
              </w:rPr>
            </w:pP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PARÁGRAFO 1. Para intervenir y ocupar el espacio público, los municipios y distritos solamente podrán exigir las licencias, permisos y autorizaciones que se encuentren previstos de manera taxativa en la ley o autorizados por esta, los cuales se agruparán en una o varias de las modalidades de licencia de intervención u ocupación del espacio público previsto en el presente Capítulo.</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PARÁGRAFO 2. Las entidades del nivel central o descentralizado de la Rama Ejecutiva del orden nacional, departamental, municipal y distrital, salvo las empresas industriales y comerciales del Estado, y las sociedades de economía mixta, no están obligadas a obtener licencias de intervención y ocupación del espacio público cuando en cumplimiento de sus funciones, ejecuten obras o actuaciones expresamente contempladas en los planes de desarrollo nacional, departamentales, municipales o distritales, en el Plan de Ordenamiento Territorial o en los instrumentos que lo desarrollen y complementen.</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PARÁGRAFO 3. La intervención de los elementos arquitectónicos o naturales de los bienes de propiedad privada que hagan parte del espacio público del municipio o distrito, tales como: cubiertas, fachadas, paramentos, pórticos o antejardines, no requieren de la obtención de licencia de intervención y ocupación del espacio público. No obstante, deben contar con la licencia de construcción correspondiente en los casos en que esta sea requerida, de conformidad con las normas municipales o distritales aplicables para el efecto.</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PARÁGRAFO 4. Para efectos de lo dispuesto en el numeral segundo del artículo 2 de la Ley 8 10 de 2003 o la norma que lo adicione, modifique o sustituya, sólo se permitirá el cerramiento de aquellas zonas de uso público, como parques y áreas verdes, distintas de las resultantes de los procesos de urbanización, parcelación o legalización urbanística.</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(Decreto 1469 de 2010, art. 12)</w:t>
            </w:r>
          </w:p>
          <w:p w:rsidR="00C22910" w:rsidRPr="00C22910" w:rsidRDefault="00C22910" w:rsidP="00C22910">
            <w:pPr>
              <w:jc w:val="both"/>
              <w:rPr>
                <w:rFonts w:ascii="Aparajita" w:hAnsi="Aparajita" w:cs="Aparajita"/>
                <w:b/>
                <w:sz w:val="20"/>
                <w:szCs w:val="20"/>
              </w:rPr>
            </w:pPr>
          </w:p>
          <w:p w:rsidR="00C22910" w:rsidRPr="00C22910" w:rsidRDefault="00C22910" w:rsidP="00C22910">
            <w:pPr>
              <w:jc w:val="both"/>
              <w:rPr>
                <w:rFonts w:ascii="Aparajita" w:hAnsi="Aparajita" w:cs="Aparajita"/>
                <w:sz w:val="20"/>
                <w:szCs w:val="20"/>
              </w:rPr>
            </w:pPr>
            <w:r w:rsidRPr="00C22910">
              <w:rPr>
                <w:rFonts w:ascii="Aparajita" w:hAnsi="Aparajita" w:cs="Aparajita"/>
                <w:b/>
                <w:sz w:val="20"/>
                <w:szCs w:val="20"/>
              </w:rPr>
              <w:t xml:space="preserve">ARTÍCULO 2.2.6.1.1.13 Modalidades de la licencia de intervención y ocupación del espacio público. </w:t>
            </w:r>
            <w:r w:rsidRPr="00C22910">
              <w:rPr>
                <w:rFonts w:ascii="Aparajita" w:hAnsi="Aparajita" w:cs="Aparajita"/>
                <w:sz w:val="20"/>
                <w:szCs w:val="20"/>
              </w:rPr>
              <w:t>Son modalidades de la licencia de intervención y ocupación del espacio público las siguientes:</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1. Licencia de ocupación del espacio público para la localización de equipamiento. Es la autorización para ocupar una zona de cesión pública o de uso público con edificaciones destinadas al equipamiento comunal público. Requieren de la expedición de este tipo de licencias los desarrollos urbanísticos aprobados o legalizados por resoluciones expedidas por las oficinas de planeación municipales o distritales, o por dependencias o entidades que hagan sus veces, en los cuales no se haya autorizado el desarrollo de un equipamiento comunal específico. Los municipios y distritos determinarán el máximo porcentaje de las áreas públicas que pueden ser ocupadas con equipamientos. En cualquier caso, la construcción de toda edificación destinada al equipamiento comunal requerirá la respectiva licencia de construcción y sólo podrá localizarse sobre las áreas de cesión destinadas para este tipo de equipamientos, según lo determinen los actos administrativos respectivos.</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2. Licencia de intervención del espacio público. Por medio de esta licencia se autoriza la intervención del espacio público para:</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2.1 La construcción, rehabilitación, reparación, sustitución, modificación y/o ampliación de instalaciones y redes para la provisión de servicios públicos domiciliarios y de telecomunicaciones.</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Sin perjuicio de lo establecido en el artículo 26 de la Ley 142 de 1994 o la norma que lo adicione, modifique o sustituya, las autorizaciones deben obedecer a un estudio de factibilidad técnica, ambiental y de impacto urbano de las obras propuestas, así como de la coherencia de las obras con los Planes de Ordenamiento Territorial o los instrumentos que los desarrollen o complementen.</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Se exceptúa de la obligación de solicitar la licencia de que trata este literal, la realización de obras que deban adelantarse como consecuencia de averías, accidentes o emergencias cuando a demora en su reparación pudiera ocasionar daños en bienes o personas. Quien efectúe los trabajos en tales condiciones deberá dejar el lugar en el estado en que se hallaba antes de que sucedieran las situaciones de avería, accidente o emergencia, y de los trabajos se rendirá un informe a la entidad competente para que realice la inspección correspondiente. El incumplimiento de esta obligación dará lugar a las sanciones establecidas en la ley.</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Los particulares que soliciten licencia de intervención del espacio público en ésta modalidad deberán acompañar a la solicitud la autorización para adelantar el trámite, emitida por la empresa prestadora del servicio público correspondiente.</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2.2 La utilización del espacio aéreo o del subsuelo para generar elementos de enlace urbano entre inmuebles privados, o entre inmuebles privados y elementos del espacio público, tales como: puentes peatonales o pasos subterráneos.</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La autorización deberá obedecer a un estudio de factibilidad técnica e impacto urbano, así como de la coherencia de las obras propuestas con el Plan de Ordenamiento Territorial y los instrumentos que lo desarrollen o complementen.</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 xml:space="preserve">2.3 La dotación de </w:t>
            </w:r>
            <w:proofErr w:type="spellStart"/>
            <w:r w:rsidRPr="00C22910">
              <w:rPr>
                <w:rFonts w:ascii="Aparajita" w:hAnsi="Aparajita" w:cs="Aparajita"/>
                <w:sz w:val="20"/>
                <w:szCs w:val="20"/>
              </w:rPr>
              <w:t>amoblamiento</w:t>
            </w:r>
            <w:proofErr w:type="spellEnd"/>
            <w:r w:rsidRPr="00C22910">
              <w:rPr>
                <w:rFonts w:ascii="Aparajita" w:hAnsi="Aparajita" w:cs="Aparajita"/>
                <w:sz w:val="20"/>
                <w:szCs w:val="20"/>
              </w:rPr>
              <w:t xml:space="preserve"> urbano y la instalación de expresiones artísticas o arborización.</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 xml:space="preserve">Los municipios y distritos establecerán qué tipo de </w:t>
            </w:r>
            <w:proofErr w:type="spellStart"/>
            <w:r w:rsidRPr="00C22910">
              <w:rPr>
                <w:rFonts w:ascii="Aparajita" w:hAnsi="Aparajita" w:cs="Aparajita"/>
                <w:sz w:val="20"/>
                <w:szCs w:val="20"/>
              </w:rPr>
              <w:t>amoblamiento</w:t>
            </w:r>
            <w:proofErr w:type="spellEnd"/>
            <w:r w:rsidRPr="00C22910">
              <w:rPr>
                <w:rFonts w:ascii="Aparajita" w:hAnsi="Aparajita" w:cs="Aparajita"/>
                <w:sz w:val="20"/>
                <w:szCs w:val="20"/>
              </w:rPr>
              <w:t xml:space="preserve"> sobre el espacio público requiere de la licencia de intervención y ocupación del espacio público, así como los procedimientos y condiciones para su expedición.</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 xml:space="preserve">2.4 Construcción y rehabilitación de andenes, parques, plazas, alamedas, separadores, </w:t>
            </w:r>
            <w:proofErr w:type="spellStart"/>
            <w:r w:rsidRPr="00C22910">
              <w:rPr>
                <w:rFonts w:ascii="Aparajita" w:hAnsi="Aparajita" w:cs="Aparajita"/>
                <w:sz w:val="20"/>
                <w:szCs w:val="20"/>
              </w:rPr>
              <w:t>ciclorrutas</w:t>
            </w:r>
            <w:proofErr w:type="spellEnd"/>
            <w:r w:rsidRPr="00C22910">
              <w:rPr>
                <w:rFonts w:ascii="Aparajita" w:hAnsi="Aparajita" w:cs="Aparajita"/>
                <w:sz w:val="20"/>
                <w:szCs w:val="20"/>
              </w:rPr>
              <w:t>, orejas de puentes vehiculares, vías peatonales, escaleras y rampas.</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 xml:space="preserve">3. Licencia de intervención y ocupación temporal de playas marítimas y terrenos de bajamar. Es la autorización otorgada por la autoridad municipal o distrital competente, por la Gobernación del departamento Archipiélago de San Andrés, Providencia y Santa Catalina, o por la autoridad designada para tal efecto, de acuerdo con lo dispuesto en el Plan de Ordenamiento Territorial y los instrumentos que lo desarrollen o complementen, para ocupar o intervenir temporalmente las playas y zonas de bajamar, sin perjuicio de las concesiones, permisos o autorizaciones cuyo otorgamiento le corresponda a la Dirección General Marítima - </w:t>
            </w:r>
            <w:proofErr w:type="spellStart"/>
            <w:r w:rsidRPr="00C22910">
              <w:rPr>
                <w:rFonts w:ascii="Aparajita" w:hAnsi="Aparajita" w:cs="Aparajita"/>
                <w:sz w:val="20"/>
                <w:szCs w:val="20"/>
              </w:rPr>
              <w:t>Dimar</w:t>
            </w:r>
            <w:proofErr w:type="spellEnd"/>
            <w:r w:rsidRPr="00C22910">
              <w:rPr>
                <w:rFonts w:ascii="Aparajita" w:hAnsi="Aparajita" w:cs="Aparajita"/>
                <w:sz w:val="20"/>
                <w:szCs w:val="20"/>
              </w:rPr>
              <w:t>- o al Instituto Nacional de Concesiones -INCO-.</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Esta autorización podrá concederse siempre y cuando se garantice el libre tránsito a la ciudadanía y no se vulnere la utilización de las zonas de playas marítimas y terrenos de bajamar al uso común.</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 xml:space="preserve">En el caso de las licencias para la ocupación de playas con fines turísticos, culturales, y artísticos o recreativos en los distritos de Barranquilla, Santa Marta o Cartagena, se requerirá concepto técnico favorable emanado de la </w:t>
            </w:r>
            <w:proofErr w:type="spellStart"/>
            <w:r w:rsidRPr="00C22910">
              <w:rPr>
                <w:rFonts w:ascii="Aparajita" w:hAnsi="Aparajita" w:cs="Aparajita"/>
                <w:sz w:val="20"/>
                <w:szCs w:val="20"/>
              </w:rPr>
              <w:t>Dimar</w:t>
            </w:r>
            <w:proofErr w:type="spellEnd"/>
            <w:r w:rsidRPr="00C22910">
              <w:rPr>
                <w:rFonts w:ascii="Aparajita" w:hAnsi="Aparajita" w:cs="Aparajita"/>
                <w:sz w:val="20"/>
                <w:szCs w:val="20"/>
              </w:rPr>
              <w:t>, de acuerdo con el artículo 15 de la Ley 768 de 2002 o la norma que la adicione, modifique o sustituya.</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De conformidad con lo dispuesto en los artículos 177 del Decreto Ley 2324 de 1984 y 43 de la Ley 1ª de 1991, ninguna autoridad concederá permiso para la construcción de vivienda en las playas marítimas y terrenos de bajamar.</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(Decreto 1469 de 2010, art. 13)</w:t>
            </w:r>
          </w:p>
          <w:p w:rsidR="00C22910" w:rsidRPr="00C22910" w:rsidRDefault="00C22910" w:rsidP="00C22910">
            <w:pPr>
              <w:jc w:val="both"/>
              <w:rPr>
                <w:rFonts w:ascii="Aparajita" w:hAnsi="Aparajita" w:cs="Aparajita"/>
                <w:b/>
                <w:sz w:val="20"/>
                <w:szCs w:val="20"/>
              </w:rPr>
            </w:pPr>
          </w:p>
          <w:p w:rsidR="00C22910" w:rsidRPr="00C22910" w:rsidRDefault="00C22910" w:rsidP="00C22910">
            <w:pPr>
              <w:jc w:val="both"/>
              <w:rPr>
                <w:rFonts w:ascii="Aparajita" w:hAnsi="Aparajita" w:cs="Aparajita"/>
                <w:sz w:val="20"/>
                <w:szCs w:val="20"/>
              </w:rPr>
            </w:pPr>
            <w:r w:rsidRPr="00C22910">
              <w:rPr>
                <w:rFonts w:ascii="Aparajita" w:hAnsi="Aparajita" w:cs="Aparajita"/>
                <w:b/>
                <w:sz w:val="20"/>
                <w:szCs w:val="20"/>
              </w:rPr>
              <w:t xml:space="preserve">ARTÍCULO 2.2.6.1.1.14 Derechos sobre el espacio público. </w:t>
            </w:r>
            <w:r w:rsidRPr="00C22910">
              <w:rPr>
                <w:rFonts w:ascii="Aparajita" w:hAnsi="Aparajita" w:cs="Aparajita"/>
                <w:sz w:val="20"/>
                <w:szCs w:val="20"/>
              </w:rPr>
              <w:t>Las licencias de intervención y ocupación del espacio público sólo confieren a sus titulares el derecho sobre la ocupación o intervención sobre bienes de uso público. A partir de la expedición de la licencia, la autoridad competente podrá revocarla en los términos del Código de Procedimiento Administrativo y de lo Contencioso Administrativo.</w:t>
            </w:r>
          </w:p>
          <w:p w:rsidR="00C22910" w:rsidRPr="00C22910" w:rsidRDefault="00C22910" w:rsidP="00C22910">
            <w:pPr>
              <w:jc w:val="both"/>
              <w:rPr>
                <w:rFonts w:ascii="Aparajita" w:hAnsi="Aparajita" w:cs="Aparajita"/>
                <w:sz w:val="20"/>
                <w:szCs w:val="20"/>
              </w:rPr>
            </w:pPr>
            <w:r w:rsidRPr="00C22910">
              <w:rPr>
                <w:rFonts w:ascii="Aparajita" w:hAnsi="Aparajita" w:cs="Aparajita"/>
                <w:sz w:val="20"/>
                <w:szCs w:val="20"/>
              </w:rPr>
              <w:t>(Decreto 1469 de 2010, art. 14)</w:t>
            </w:r>
          </w:p>
        </w:tc>
      </w:tr>
    </w:tbl>
    <w:p w:rsidR="00603022" w:rsidRPr="00BB77FE" w:rsidRDefault="00603022" w:rsidP="00603022">
      <w:pPr>
        <w:pStyle w:val="NormalWeb"/>
        <w:spacing w:before="0" w:beforeAutospacing="0" w:after="0" w:afterAutospacing="0"/>
        <w:jc w:val="both"/>
        <w:rPr>
          <w:rFonts w:ascii="Arial" w:hAnsi="Arial" w:cs="Arial"/>
          <w:b/>
          <w:bCs/>
          <w:sz w:val="22"/>
          <w:szCs w:val="22"/>
          <w:shd w:val="clear" w:color="auto" w:fill="FFFFFF"/>
        </w:rPr>
      </w:pPr>
    </w:p>
    <w:p w:rsidR="00603022" w:rsidRPr="00C25515" w:rsidRDefault="00603022" w:rsidP="00603022">
      <w:pPr>
        <w:pStyle w:val="NormalWeb"/>
        <w:spacing w:before="0" w:beforeAutospacing="0" w:after="0" w:afterAutospacing="0"/>
        <w:jc w:val="both"/>
        <w:rPr>
          <w:rFonts w:ascii="Arial" w:hAnsi="Arial" w:cs="Arial"/>
          <w:color w:val="00AFF0"/>
          <w:sz w:val="22"/>
          <w:szCs w:val="22"/>
          <w:shd w:val="clear" w:color="auto" w:fill="FFFFFF"/>
        </w:rPr>
      </w:pPr>
      <w:r w:rsidRPr="00BB77FE">
        <w:rPr>
          <w:rFonts w:ascii="Arial" w:hAnsi="Arial" w:cs="Arial"/>
          <w:b/>
          <w:bCs/>
          <w:sz w:val="22"/>
          <w:szCs w:val="22"/>
          <w:shd w:val="clear" w:color="auto" w:fill="FFFFFF"/>
        </w:rPr>
        <w:t xml:space="preserve">Artículo 2. </w:t>
      </w:r>
      <w:r w:rsidRPr="00C25515">
        <w:rPr>
          <w:rFonts w:ascii="Arial" w:hAnsi="Arial" w:cs="Arial"/>
          <w:color w:val="00AFF0"/>
          <w:sz w:val="22"/>
          <w:szCs w:val="22"/>
          <w:shd w:val="clear" w:color="auto" w:fill="FFFFFF"/>
        </w:rPr>
        <w:t>El artículo</w:t>
      </w:r>
      <w:r w:rsidRPr="00C25515">
        <w:rPr>
          <w:rStyle w:val="apple-converted-space"/>
          <w:rFonts w:ascii="Arial" w:hAnsi="Arial" w:cs="Arial"/>
          <w:color w:val="00AFF0"/>
          <w:sz w:val="22"/>
          <w:szCs w:val="22"/>
          <w:shd w:val="clear" w:color="auto" w:fill="FFFFFF"/>
        </w:rPr>
        <w:t> </w:t>
      </w:r>
      <w:hyperlink r:id="rId9" w:anchor="104" w:history="1">
        <w:r w:rsidRPr="00C25515">
          <w:rPr>
            <w:rStyle w:val="Hipervnculo"/>
            <w:rFonts w:ascii="Arial" w:hAnsi="Arial" w:cs="Arial"/>
            <w:color w:val="00AFF0"/>
            <w:sz w:val="22"/>
            <w:szCs w:val="22"/>
            <w:u w:val="none"/>
            <w:shd w:val="clear" w:color="auto" w:fill="FFFFFF"/>
          </w:rPr>
          <w:t>104</w:t>
        </w:r>
      </w:hyperlink>
      <w:r w:rsidRPr="00C25515">
        <w:rPr>
          <w:rStyle w:val="apple-converted-space"/>
          <w:rFonts w:ascii="Arial" w:hAnsi="Arial" w:cs="Arial"/>
          <w:color w:val="00AFF0"/>
          <w:sz w:val="22"/>
          <w:szCs w:val="22"/>
          <w:shd w:val="clear" w:color="auto" w:fill="FFFFFF"/>
        </w:rPr>
        <w:t> </w:t>
      </w:r>
      <w:r w:rsidRPr="00C25515">
        <w:rPr>
          <w:rFonts w:ascii="Arial" w:hAnsi="Arial" w:cs="Arial"/>
          <w:color w:val="00AFF0"/>
          <w:sz w:val="22"/>
          <w:szCs w:val="22"/>
          <w:shd w:val="clear" w:color="auto" w:fill="FFFFFF"/>
        </w:rPr>
        <w:t>de la Ley 388 de 1997 quedará así:</w:t>
      </w:r>
    </w:p>
    <w:p w:rsidR="00603022" w:rsidRPr="00BB77FE" w:rsidRDefault="00603022" w:rsidP="00603022">
      <w:pPr>
        <w:pStyle w:val="NormalWeb"/>
        <w:spacing w:before="0" w:beforeAutospacing="0" w:after="0" w:afterAutospacing="0"/>
        <w:ind w:left="708"/>
        <w:jc w:val="both"/>
        <w:rPr>
          <w:rFonts w:ascii="Arial" w:hAnsi="Arial" w:cs="Arial"/>
          <w:sz w:val="22"/>
          <w:szCs w:val="22"/>
          <w:shd w:val="clear" w:color="auto" w:fill="FFFFFF"/>
        </w:rPr>
      </w:pPr>
      <w:r w:rsidRPr="00C25515">
        <w:rPr>
          <w:rStyle w:val="Textoennegrita"/>
          <w:rFonts w:ascii="Arial" w:hAnsi="Arial" w:cs="Arial"/>
          <w:color w:val="00AFF0"/>
          <w:sz w:val="22"/>
          <w:szCs w:val="22"/>
          <w:shd w:val="clear" w:color="auto" w:fill="FFFFFF"/>
        </w:rPr>
        <w:t>Artículo 104.</w:t>
      </w:r>
      <w:r w:rsidRPr="00C25515">
        <w:rPr>
          <w:rStyle w:val="apple-converted-space"/>
          <w:rFonts w:ascii="Arial" w:hAnsi="Arial" w:cs="Arial"/>
          <w:b/>
          <w:bCs/>
          <w:color w:val="00AFF0"/>
          <w:sz w:val="22"/>
          <w:szCs w:val="22"/>
          <w:shd w:val="clear" w:color="auto" w:fill="FFFFFF"/>
        </w:rPr>
        <w:t> </w:t>
      </w:r>
      <w:r w:rsidRPr="00C25515">
        <w:rPr>
          <w:rStyle w:val="Textoennegrita"/>
          <w:rFonts w:ascii="Arial" w:hAnsi="Arial" w:cs="Arial"/>
          <w:i/>
          <w:iCs/>
          <w:color w:val="00AFF0"/>
          <w:sz w:val="22"/>
          <w:szCs w:val="22"/>
          <w:shd w:val="clear" w:color="auto" w:fill="FFFFFF"/>
        </w:rPr>
        <w:t>Sanciones urbanísticas.</w:t>
      </w:r>
      <w:r w:rsidRPr="00C25515">
        <w:rPr>
          <w:rStyle w:val="apple-converted-space"/>
          <w:rFonts w:ascii="Arial" w:hAnsi="Arial" w:cs="Arial"/>
          <w:b/>
          <w:bCs/>
          <w:color w:val="00AFF0"/>
          <w:sz w:val="22"/>
          <w:szCs w:val="22"/>
          <w:shd w:val="clear" w:color="auto" w:fill="FFFFFF"/>
        </w:rPr>
        <w:t> </w:t>
      </w:r>
      <w:r w:rsidRPr="00C25515">
        <w:rPr>
          <w:rFonts w:ascii="Arial" w:hAnsi="Arial" w:cs="Arial"/>
          <w:color w:val="00AFF0"/>
          <w:sz w:val="22"/>
          <w:szCs w:val="22"/>
          <w:shd w:val="clear" w:color="auto" w:fill="FFFFFF"/>
        </w:rPr>
        <w:t>El artículo 66 de la Ley 9 de 1989 quedará así</w:t>
      </w:r>
      <w:r w:rsidRPr="00BB77FE">
        <w:rPr>
          <w:rFonts w:ascii="Arial" w:hAnsi="Arial" w:cs="Arial"/>
          <w:sz w:val="22"/>
          <w:szCs w:val="22"/>
          <w:shd w:val="clear" w:color="auto" w:fill="FFFFFF"/>
        </w:rPr>
        <w:t>:</w:t>
      </w: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r w:rsidRPr="00BB77FE">
        <w:rPr>
          <w:rFonts w:ascii="Arial" w:hAnsi="Arial" w:cs="Arial"/>
          <w:i/>
          <w:sz w:val="22"/>
          <w:szCs w:val="22"/>
          <w:shd w:val="clear" w:color="auto" w:fill="FFFFFF"/>
        </w:rPr>
        <w:t>Las infracciones urbanísticas darán lugar a la aplicación de las sanciones a los</w:t>
      </w:r>
      <w:r w:rsidRPr="00BB77FE">
        <w:rPr>
          <w:rStyle w:val="apple-converted-space"/>
          <w:rFonts w:ascii="Arial" w:hAnsi="Arial" w:cs="Arial"/>
          <w:b/>
          <w:bCs/>
          <w:i/>
          <w:sz w:val="22"/>
          <w:szCs w:val="22"/>
          <w:shd w:val="clear" w:color="auto" w:fill="FFFFFF"/>
        </w:rPr>
        <w:t> </w:t>
      </w:r>
      <w:r w:rsidRPr="00BB77FE">
        <w:rPr>
          <w:rFonts w:ascii="Arial" w:hAnsi="Arial" w:cs="Arial"/>
          <w:i/>
          <w:sz w:val="22"/>
          <w:szCs w:val="22"/>
          <w:shd w:val="clear" w:color="auto" w:fill="FFFFFF"/>
        </w:rPr>
        <w:t>responsables que a continuación se determina, por parte de los alcaldes municipales y distritales, el gobernador del departamento de San Andrés y Providencia o el funcionario que reciba la delegación, quienes las graduarán de acuerdo con la gravedad y magnitud de la infracción y la reiteración o reincidencia en la falta, si tales conductas se presentaren:</w:t>
      </w: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r w:rsidRPr="00BB77FE">
        <w:rPr>
          <w:rFonts w:ascii="Arial" w:hAnsi="Arial" w:cs="Arial"/>
          <w:i/>
          <w:sz w:val="22"/>
          <w:szCs w:val="22"/>
          <w:shd w:val="clear" w:color="auto" w:fill="FFFFFF"/>
        </w:rPr>
        <w:t>1. Multas sucesivas que oscilarán entre quince (15) y treinta (30) salarios mínimos legales diarios vigentes por metro cuadrado de área de suelo afectado, sin que en ningún caso la multa supere los quinientos (500) salarios mínimos mensuales legales vigentes, para quienes parcelen, urbanicen o construyan en terrenos no urbanizables o no parcelables, además de la orden policiva de demolición de la obra y la suspensión de servicios públicos domiciliarios, de conformidad con lo señalado por la Ley 142 de 1994.</w:t>
      </w:r>
    </w:p>
    <w:p w:rsidR="00603022" w:rsidRPr="00BB77FE" w:rsidRDefault="00603022" w:rsidP="00603022">
      <w:pPr>
        <w:pStyle w:val="NormalWeb"/>
        <w:tabs>
          <w:tab w:val="left" w:pos="3594"/>
        </w:tabs>
        <w:spacing w:before="0" w:beforeAutospacing="0" w:after="0" w:afterAutospacing="0"/>
        <w:ind w:left="708"/>
        <w:jc w:val="both"/>
        <w:rPr>
          <w:rFonts w:ascii="Arial" w:hAnsi="Arial" w:cs="Arial"/>
          <w:i/>
          <w:sz w:val="22"/>
          <w:szCs w:val="22"/>
          <w:shd w:val="clear" w:color="auto" w:fill="FFFFFF"/>
        </w:rPr>
      </w:pPr>
      <w:r w:rsidRPr="00BB77FE">
        <w:rPr>
          <w:rFonts w:ascii="Arial" w:hAnsi="Arial" w:cs="Arial"/>
          <w:i/>
          <w:sz w:val="22"/>
          <w:szCs w:val="22"/>
          <w:shd w:val="clear" w:color="auto" w:fill="FFFFFF"/>
        </w:rPr>
        <w:tab/>
      </w: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r w:rsidRPr="00BB77FE">
        <w:rPr>
          <w:rFonts w:ascii="Arial" w:hAnsi="Arial" w:cs="Arial"/>
          <w:i/>
          <w:sz w:val="22"/>
          <w:szCs w:val="22"/>
          <w:shd w:val="clear" w:color="auto" w:fill="FFFFFF"/>
        </w:rPr>
        <w:t>En la misma sanción incurrirán quienes parcelen, urbanicen o construyan en terrenos afectados por el plan vial, de infraestructura de servicios públicos domiciliarios, o destinado a equipamientos públicos.</w:t>
      </w:r>
    </w:p>
    <w:p w:rsidR="00603022" w:rsidRPr="00BB77FE" w:rsidRDefault="00603022" w:rsidP="00603022">
      <w:pPr>
        <w:pStyle w:val="NormalWeb"/>
        <w:spacing w:before="0" w:beforeAutospacing="0" w:after="0" w:afterAutospacing="0"/>
        <w:ind w:left="708"/>
        <w:jc w:val="center"/>
        <w:rPr>
          <w:rFonts w:ascii="Arial" w:hAnsi="Arial" w:cs="Arial"/>
          <w:i/>
          <w:sz w:val="22"/>
          <w:szCs w:val="22"/>
          <w:shd w:val="clear" w:color="auto" w:fill="FFFFFF"/>
        </w:rPr>
      </w:pP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r w:rsidRPr="00BB77FE">
        <w:rPr>
          <w:rFonts w:ascii="Arial" w:hAnsi="Arial" w:cs="Arial"/>
          <w:i/>
          <w:sz w:val="22"/>
          <w:szCs w:val="22"/>
          <w:shd w:val="clear" w:color="auto" w:fill="FFFFFF"/>
        </w:rPr>
        <w:t>Si la construcción, urbanización o parcelación se desarrollan en terrenos de protección ambiental, o localizados en zonas calificadas como de riesgo, tales como humedales, rondas de cuerpos de agua o de riesgo geológico, la cuantía de las multas se incrementará hasta en un ciento por ciento (100%) sobre las sumas aquí señaladas, sin perjuicio de las demás responsabilidades y sanciones legales a que haya lugar.</w:t>
      </w:r>
    </w:p>
    <w:p w:rsidR="00603022" w:rsidRPr="00BB77FE" w:rsidRDefault="00603022" w:rsidP="00603022">
      <w:pPr>
        <w:pStyle w:val="NormalWeb"/>
        <w:spacing w:before="0" w:beforeAutospacing="0" w:after="0" w:afterAutospacing="0"/>
        <w:jc w:val="both"/>
        <w:rPr>
          <w:rFonts w:ascii="Arial" w:hAnsi="Arial" w:cs="Arial"/>
          <w:sz w:val="22"/>
          <w:szCs w:val="22"/>
          <w:shd w:val="clear" w:color="auto" w:fill="FFFFFF"/>
        </w:rPr>
      </w:pPr>
    </w:p>
    <w:tbl>
      <w:tblPr>
        <w:tblStyle w:val="Tablaconcuadrcula"/>
        <w:tblW w:w="5000" w:type="pct"/>
        <w:shd w:val="clear" w:color="auto" w:fill="D8F0F8"/>
        <w:tblLook w:val="04A0" w:firstRow="1" w:lastRow="0" w:firstColumn="1" w:lastColumn="0" w:noHBand="0" w:noVBand="1"/>
      </w:tblPr>
      <w:tblGrid>
        <w:gridCol w:w="10188"/>
      </w:tblGrid>
      <w:tr w:rsidR="00603022" w:rsidRPr="00BB77FE" w:rsidTr="004978AF">
        <w:tc>
          <w:tcPr>
            <w:tcW w:w="5000" w:type="pct"/>
            <w:shd w:val="clear" w:color="auto" w:fill="D8F0F8"/>
          </w:tcPr>
          <w:p w:rsidR="00603022" w:rsidRPr="00BB77FE" w:rsidRDefault="00603022" w:rsidP="004978AF">
            <w:pPr>
              <w:jc w:val="both"/>
              <w:rPr>
                <w:rFonts w:ascii="Agency FB" w:hAnsi="Agency FB" w:cs="Aparajita"/>
                <w:b/>
              </w:rPr>
            </w:pPr>
            <w:r w:rsidRPr="00BB77FE">
              <w:rPr>
                <w:rFonts w:ascii="Agency FB" w:hAnsi="Agency FB" w:cs="Aparajita"/>
                <w:b/>
              </w:rPr>
              <w:t>Comentario.</w:t>
            </w:r>
          </w:p>
          <w:p w:rsidR="00603022" w:rsidRPr="00BB77FE" w:rsidRDefault="00603022" w:rsidP="004978AF">
            <w:pPr>
              <w:jc w:val="both"/>
              <w:rPr>
                <w:rFonts w:ascii="Aparajita" w:hAnsi="Aparajita" w:cs="Aparajita"/>
              </w:rPr>
            </w:pPr>
            <w:r w:rsidRPr="00BB77FE">
              <w:rPr>
                <w:rFonts w:ascii="Aparajita" w:hAnsi="Aparajita" w:cs="Aparajita"/>
              </w:rPr>
              <w:t>Para que proceda la imposición de las sanciones urbanísticas señaladas por parcelación, urbanización o construcción, en terrenos no aptos para tales actuaciones urbanísticas, es preciso que se acrediten los siguientes elementos:</w:t>
            </w:r>
          </w:p>
          <w:p w:rsidR="00603022" w:rsidRPr="00BB77FE" w:rsidRDefault="00603022" w:rsidP="004978AF">
            <w:pPr>
              <w:pStyle w:val="Prrafodelista"/>
              <w:numPr>
                <w:ilvl w:val="0"/>
                <w:numId w:val="1"/>
              </w:numPr>
              <w:ind w:left="284" w:hanging="284"/>
              <w:jc w:val="both"/>
              <w:rPr>
                <w:rFonts w:ascii="Aparajita" w:hAnsi="Aparajita" w:cs="Aparajita"/>
              </w:rPr>
            </w:pPr>
            <w:r w:rsidRPr="00BB77FE">
              <w:rPr>
                <w:rFonts w:ascii="Aparajita" w:hAnsi="Aparajita" w:cs="Aparajita"/>
              </w:rPr>
              <w:t>Que exista prueba de que hubo una construcción (nótese que para este evento no es relevante la obtención de licencia, por cuanto tal trámite no es posible).</w:t>
            </w:r>
          </w:p>
          <w:p w:rsidR="00603022" w:rsidRPr="00BB77FE" w:rsidRDefault="00603022" w:rsidP="004978AF">
            <w:pPr>
              <w:pStyle w:val="Prrafodelista"/>
              <w:numPr>
                <w:ilvl w:val="0"/>
                <w:numId w:val="1"/>
              </w:numPr>
              <w:ind w:left="284" w:hanging="284"/>
              <w:jc w:val="both"/>
              <w:rPr>
                <w:rFonts w:ascii="Aparajita" w:hAnsi="Aparajita" w:cs="Aparajita"/>
              </w:rPr>
            </w:pPr>
            <w:r w:rsidRPr="00BB77FE">
              <w:rPr>
                <w:rFonts w:ascii="Aparajita" w:hAnsi="Aparajita" w:cs="Aparajita"/>
              </w:rPr>
              <w:t>Que se acredite que en el predio donde se construyó existía una prohibición legal de urbanizar, parcelar o construir (o que cuenta con afectación para obra pública (ver art. 37 de Ley 9 de 1989) o que se trata de suelo protegido (en cuyo caso se duplica la multa).</w:t>
            </w:r>
          </w:p>
          <w:p w:rsidR="00603022" w:rsidRPr="00BB77FE" w:rsidRDefault="00603022" w:rsidP="004978AF">
            <w:pPr>
              <w:pStyle w:val="Prrafodelista"/>
              <w:numPr>
                <w:ilvl w:val="0"/>
                <w:numId w:val="1"/>
              </w:numPr>
              <w:ind w:left="284" w:hanging="284"/>
              <w:jc w:val="both"/>
              <w:rPr>
                <w:rFonts w:ascii="Aparajita" w:hAnsi="Aparajita" w:cs="Aparajita"/>
              </w:rPr>
            </w:pPr>
            <w:r w:rsidRPr="00BB77FE">
              <w:rPr>
                <w:rFonts w:ascii="Aparajita" w:hAnsi="Aparajita" w:cs="Aparajita"/>
              </w:rPr>
              <w:t>Que la obra fue construida con posterioridad a la expedición de la norma que prohíbe urbanizar, parcelar o construir en el predio o, si la obra fuere construida antes, que la función pública de control urbanístico se está ejerciendo dentro del marco de competencia temporal que asigna la ley (caducidad del Código Contencioso Administrativo aplicable a la actuación).</w:t>
            </w:r>
          </w:p>
          <w:p w:rsidR="00603022" w:rsidRPr="00BB77FE" w:rsidRDefault="00603022" w:rsidP="004978AF">
            <w:pPr>
              <w:jc w:val="both"/>
              <w:rPr>
                <w:rFonts w:ascii="Aparajita" w:hAnsi="Aparajita" w:cs="Aparajita"/>
              </w:rPr>
            </w:pPr>
            <w:r w:rsidRPr="00BB77FE">
              <w:rPr>
                <w:rFonts w:ascii="Aparajita" w:hAnsi="Aparajita" w:cs="Aparajita"/>
              </w:rPr>
              <w:t>En estos eventos la sanción urbanística consiste en multa y demolición al mismo tiempo.</w:t>
            </w:r>
          </w:p>
        </w:tc>
      </w:tr>
    </w:tbl>
    <w:p w:rsidR="00603022" w:rsidRPr="00BB77FE" w:rsidRDefault="00603022" w:rsidP="00603022">
      <w:pPr>
        <w:pStyle w:val="NormalWeb"/>
        <w:spacing w:before="0" w:beforeAutospacing="0" w:after="0" w:afterAutospacing="0"/>
        <w:jc w:val="both"/>
        <w:rPr>
          <w:rFonts w:ascii="Arial" w:hAnsi="Arial" w:cs="Arial"/>
          <w:sz w:val="22"/>
          <w:szCs w:val="22"/>
          <w:shd w:val="clear" w:color="auto" w:fill="FFFFFF"/>
        </w:rPr>
      </w:pP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r w:rsidRPr="00BB77FE">
        <w:rPr>
          <w:rFonts w:ascii="Arial" w:hAnsi="Arial" w:cs="Arial"/>
          <w:i/>
          <w:sz w:val="22"/>
          <w:szCs w:val="22"/>
          <w:shd w:val="clear" w:color="auto" w:fill="FFFFFF"/>
        </w:rPr>
        <w:t xml:space="preserve">2. Multas sucesivas que oscilarán entre doce (12) y veinticinco (25) salarios diarios vigentes por metro cuadrado de intervención u ocupación, sin que en ningún caso la multa supere los cuatrocientos (400) salarios mínimos mensuales legales vigentes, para quienes intervengan u ocupen, con cualquier tipo de </w:t>
      </w:r>
      <w:proofErr w:type="spellStart"/>
      <w:r w:rsidRPr="00BB77FE">
        <w:rPr>
          <w:rFonts w:ascii="Arial" w:hAnsi="Arial" w:cs="Arial"/>
          <w:i/>
          <w:sz w:val="22"/>
          <w:szCs w:val="22"/>
          <w:shd w:val="clear" w:color="auto" w:fill="FFFFFF"/>
        </w:rPr>
        <w:t>amoblamiento</w:t>
      </w:r>
      <w:proofErr w:type="spellEnd"/>
      <w:r w:rsidRPr="00BB77FE">
        <w:rPr>
          <w:rFonts w:ascii="Arial" w:hAnsi="Arial" w:cs="Arial"/>
          <w:i/>
          <w:sz w:val="22"/>
          <w:szCs w:val="22"/>
          <w:shd w:val="clear" w:color="auto" w:fill="FFFFFF"/>
        </w:rPr>
        <w:t>, instalaciones o construcciones, los parques públicos zonas verdes y demás bienes de uso público, o los encierren sin la debida autorización de las autoridades encargadas del control del espacio público, además de la demolición de la construcción o cerramiento y la suspensión de servicios públicos domiciliarios, de conformidad con lo señalado en la Ley 142 de 1994. Esta autorización podrá concederse únicamente para los parques y zonas verdes por razones de seguridad, siempre y cuando la trasparencia del cerramiento sea de un 90% como mínimo, de suerte que se garantice a la ciudadanía el disfrute visual de los parques o zonas verdes y que no se vulnere su destinación al uso de común.</w:t>
      </w: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r w:rsidRPr="00BB77FE">
        <w:rPr>
          <w:rFonts w:ascii="Arial" w:hAnsi="Arial" w:cs="Arial"/>
          <w:i/>
          <w:sz w:val="22"/>
          <w:szCs w:val="22"/>
          <w:shd w:val="clear" w:color="auto" w:fill="FFFFFF"/>
        </w:rPr>
        <w:t>En la misma sanción incurrirán quienes realicen intervenciones en área que formen parte del espacio público que no tengan el carácter de bienes de uso público, sin contar con la debida licencia o contraviniéndolo, sin perjuicio de la obligación de restitución de elementos que más adelante se señala.</w:t>
      </w:r>
    </w:p>
    <w:p w:rsidR="00603022" w:rsidRPr="00BB77FE" w:rsidRDefault="00603022" w:rsidP="00603022">
      <w:pPr>
        <w:pStyle w:val="NormalWeb"/>
        <w:spacing w:before="0" w:beforeAutospacing="0" w:after="0" w:afterAutospacing="0"/>
        <w:jc w:val="both"/>
        <w:rPr>
          <w:rFonts w:ascii="Arial" w:hAnsi="Arial" w:cs="Arial"/>
          <w:sz w:val="22"/>
          <w:szCs w:val="22"/>
          <w:shd w:val="clear" w:color="auto" w:fill="FFFFFF"/>
        </w:rPr>
      </w:pPr>
    </w:p>
    <w:tbl>
      <w:tblPr>
        <w:tblStyle w:val="Tablaconcuadrcula"/>
        <w:tblW w:w="5000" w:type="pct"/>
        <w:shd w:val="clear" w:color="auto" w:fill="D8F0F8"/>
        <w:tblLook w:val="04A0" w:firstRow="1" w:lastRow="0" w:firstColumn="1" w:lastColumn="0" w:noHBand="0" w:noVBand="1"/>
      </w:tblPr>
      <w:tblGrid>
        <w:gridCol w:w="10188"/>
      </w:tblGrid>
      <w:tr w:rsidR="00603022" w:rsidRPr="00BB77FE" w:rsidTr="004978AF">
        <w:tc>
          <w:tcPr>
            <w:tcW w:w="5000" w:type="pct"/>
            <w:shd w:val="clear" w:color="auto" w:fill="D8F0F8"/>
          </w:tcPr>
          <w:p w:rsidR="00603022" w:rsidRPr="00BB77FE" w:rsidRDefault="00603022" w:rsidP="004978AF">
            <w:pPr>
              <w:jc w:val="both"/>
              <w:rPr>
                <w:rFonts w:ascii="Agency FB" w:hAnsi="Agency FB" w:cs="Aparajita"/>
                <w:b/>
              </w:rPr>
            </w:pPr>
            <w:r w:rsidRPr="00BB77FE">
              <w:rPr>
                <w:rFonts w:ascii="Agency FB" w:hAnsi="Agency FB" w:cs="Aparajita"/>
                <w:b/>
              </w:rPr>
              <w:t>Comentario</w:t>
            </w:r>
          </w:p>
          <w:p w:rsidR="00603022" w:rsidRPr="00BB77FE" w:rsidRDefault="00603022" w:rsidP="004978AF">
            <w:pPr>
              <w:jc w:val="both"/>
              <w:rPr>
                <w:rFonts w:ascii="Aparajita" w:hAnsi="Aparajita" w:cs="Aparajita"/>
              </w:rPr>
            </w:pPr>
            <w:r w:rsidRPr="00BB77FE">
              <w:rPr>
                <w:rFonts w:ascii="Aparajita" w:hAnsi="Aparajita" w:cs="Aparajita"/>
              </w:rPr>
              <w:t xml:space="preserve">Para que proceda la sanción urbanística (y la orden de restitución del espacio público en aplicación sistemática con el artículo 4) deben tenerse en cuenta tres situaciones: </w:t>
            </w:r>
          </w:p>
          <w:p w:rsidR="00603022" w:rsidRPr="00BB77FE" w:rsidRDefault="00603022" w:rsidP="00603022">
            <w:pPr>
              <w:pStyle w:val="Prrafodelista"/>
              <w:numPr>
                <w:ilvl w:val="0"/>
                <w:numId w:val="6"/>
              </w:numPr>
              <w:ind w:left="284" w:hanging="284"/>
              <w:jc w:val="both"/>
              <w:rPr>
                <w:rFonts w:ascii="Aparajita" w:hAnsi="Aparajita" w:cs="Aparajita"/>
              </w:rPr>
            </w:pPr>
            <w:r w:rsidRPr="00BB77FE">
              <w:rPr>
                <w:rFonts w:ascii="Aparajita" w:hAnsi="Aparajita" w:cs="Aparajita"/>
              </w:rPr>
              <w:t xml:space="preserve">Que el bien es espacio público: como “bien de uso público” o “como propiedad privada afectada a espacio público” </w:t>
            </w:r>
            <w:r w:rsidRPr="00BB77FE">
              <w:rPr>
                <w:rFonts w:ascii="Aparajita" w:hAnsi="Aparajita" w:cs="Aparajita"/>
                <w:i/>
              </w:rPr>
              <w:t>(</w:t>
            </w:r>
            <w:r w:rsidRPr="00BB77FE">
              <w:rPr>
                <w:rFonts w:ascii="Aparajita" w:hAnsi="Aparajita" w:cs="Aparajita"/>
                <w:b/>
                <w:i/>
              </w:rPr>
              <w:t>la administración</w:t>
            </w:r>
            <w:r w:rsidRPr="00BB77FE">
              <w:rPr>
                <w:rFonts w:ascii="Aparajita" w:hAnsi="Aparajita" w:cs="Aparajita"/>
                <w:i/>
              </w:rPr>
              <w:t xml:space="preserve"> debe probar la naturaleza del bien, acudiendo a escrituras públicas o a los actos administrativos que establezcan la naturaleza del suelo, como resoluciones, planos urbanísticos, etc.</w:t>
            </w:r>
            <w:r w:rsidRPr="00BB77FE">
              <w:rPr>
                <w:rFonts w:ascii="Aparajita" w:hAnsi="Aparajita" w:cs="Aparajita"/>
              </w:rPr>
              <w:t xml:space="preserve">). </w:t>
            </w:r>
          </w:p>
          <w:p w:rsidR="00603022" w:rsidRPr="00BB77FE" w:rsidRDefault="00603022" w:rsidP="00603022">
            <w:pPr>
              <w:pStyle w:val="Prrafodelista"/>
              <w:numPr>
                <w:ilvl w:val="0"/>
                <w:numId w:val="6"/>
              </w:numPr>
              <w:ind w:left="284" w:hanging="284"/>
              <w:jc w:val="both"/>
              <w:rPr>
                <w:rFonts w:ascii="Aparajita" w:hAnsi="Aparajita" w:cs="Aparajita"/>
              </w:rPr>
            </w:pPr>
            <w:r w:rsidRPr="00BB77FE">
              <w:rPr>
                <w:rFonts w:ascii="Aparajita" w:hAnsi="Aparajita" w:cs="Aparajita"/>
              </w:rPr>
              <w:t>Que se encuentre ocupado, intervenido, encerrado, destruido o alterado (</w:t>
            </w:r>
            <w:r w:rsidRPr="00BB77FE">
              <w:rPr>
                <w:rFonts w:ascii="Aparajita" w:hAnsi="Aparajita" w:cs="Aparajita"/>
                <w:i/>
              </w:rPr>
              <w:t>la administración debe determinar si existe algún cerramiento, construcción o cualquier forma de ocupación temporal o permanente. El término “ocupado” solo es aplicable para bienes de uso público; los demás para cualquier tipo de espacio público</w:t>
            </w:r>
            <w:r w:rsidRPr="00BB77FE">
              <w:rPr>
                <w:rFonts w:ascii="Aparajita" w:hAnsi="Aparajita" w:cs="Aparajita"/>
              </w:rPr>
              <w:t>).</w:t>
            </w:r>
          </w:p>
          <w:p w:rsidR="00603022" w:rsidRPr="00BB77FE" w:rsidRDefault="00603022" w:rsidP="00603022">
            <w:pPr>
              <w:pStyle w:val="Prrafodelista"/>
              <w:numPr>
                <w:ilvl w:val="0"/>
                <w:numId w:val="6"/>
              </w:numPr>
              <w:ind w:left="284" w:hanging="284"/>
              <w:jc w:val="both"/>
              <w:rPr>
                <w:rFonts w:ascii="Aparajita" w:hAnsi="Aparajita" w:cs="Aparajita"/>
              </w:rPr>
            </w:pPr>
            <w:r w:rsidRPr="00BB77FE">
              <w:rPr>
                <w:rFonts w:ascii="Aparajita" w:hAnsi="Aparajita" w:cs="Aparajita"/>
              </w:rPr>
              <w:t>Que la ocupación o intervención no se encuentre amparada por actuación de autoridad competente (</w:t>
            </w:r>
            <w:r w:rsidRPr="00BB77FE">
              <w:rPr>
                <w:rFonts w:ascii="Aparajita" w:hAnsi="Aparajita" w:cs="Aparajita"/>
                <w:i/>
              </w:rPr>
              <w:t>el particular o interesado en que no se sancione ni ordene la restitución, debe probar que la acción se fundamenta en un contrato, en una licencia de intervención de EP, un permiso de ocupación temporal, etc.</w:t>
            </w:r>
            <w:r w:rsidRPr="00BB77FE">
              <w:rPr>
                <w:rFonts w:ascii="Aparajita" w:hAnsi="Aparajita" w:cs="Aparajita"/>
              </w:rPr>
              <w:t>)</w:t>
            </w:r>
          </w:p>
          <w:p w:rsidR="00603022" w:rsidRPr="00BB77FE" w:rsidRDefault="00603022" w:rsidP="004978AF">
            <w:pPr>
              <w:jc w:val="both"/>
              <w:rPr>
                <w:rFonts w:ascii="Aparajita" w:hAnsi="Aparajita" w:cs="Aparajita"/>
                <w:lang w:val="es-ES"/>
              </w:rPr>
            </w:pPr>
            <w:r w:rsidRPr="00BB77FE">
              <w:rPr>
                <w:rFonts w:ascii="Aparajita" w:hAnsi="Aparajita" w:cs="Aparajita"/>
                <w:lang w:val="es-ES"/>
              </w:rPr>
              <w:t>Procede el archivo de la actuación si no se prueban alguno de los presupuestos de los dos primeros literales o si se allega prueba del tercero.</w:t>
            </w:r>
          </w:p>
          <w:p w:rsidR="00603022" w:rsidRPr="00BB77FE" w:rsidRDefault="00603022" w:rsidP="004978AF">
            <w:pPr>
              <w:jc w:val="both"/>
              <w:rPr>
                <w:rFonts w:ascii="Agency FB" w:hAnsi="Agency FB" w:cs="Aparajita"/>
              </w:rPr>
            </w:pPr>
          </w:p>
          <w:p w:rsidR="00603022" w:rsidRPr="00BB77FE" w:rsidRDefault="00603022" w:rsidP="004978AF">
            <w:pPr>
              <w:jc w:val="both"/>
              <w:rPr>
                <w:rFonts w:ascii="Agency FB" w:hAnsi="Agency FB" w:cs="Aparajita"/>
                <w:b/>
              </w:rPr>
            </w:pPr>
            <w:r>
              <w:rPr>
                <w:rFonts w:ascii="Agency FB" w:hAnsi="Agency FB" w:cs="Aparajita"/>
                <w:b/>
              </w:rPr>
              <w:t>Comentario</w:t>
            </w:r>
          </w:p>
          <w:p w:rsidR="00603022" w:rsidRPr="00BB77FE" w:rsidRDefault="00603022" w:rsidP="004978AF">
            <w:pPr>
              <w:jc w:val="both"/>
              <w:rPr>
                <w:rFonts w:ascii="Aparajita" w:hAnsi="Aparajita" w:cs="Aparajita"/>
                <w:i/>
                <w:lang w:val="es-ES"/>
              </w:rPr>
            </w:pPr>
            <w:r w:rsidRPr="00BB77FE">
              <w:rPr>
                <w:rFonts w:ascii="Aparajita" w:hAnsi="Aparajita" w:cs="Aparajita"/>
                <w:b/>
              </w:rPr>
              <w:t>La propiedad privada afectada a espacio público</w:t>
            </w:r>
            <w:r w:rsidRPr="00BB77FE">
              <w:rPr>
                <w:rFonts w:ascii="Aparajita" w:hAnsi="Aparajita" w:cs="Aparajita"/>
              </w:rPr>
              <w:t xml:space="preserve">. </w:t>
            </w:r>
            <w:r w:rsidRPr="00BB77FE">
              <w:rPr>
                <w:rFonts w:ascii="Aparajita" w:hAnsi="Aparajita" w:cs="Aparajita"/>
                <w:lang w:val="es-ES"/>
              </w:rPr>
              <w:t xml:space="preserve">El espacio público es clasificado como un derecho colectivo, y regulado en el art. 82, así: </w:t>
            </w:r>
            <w:r w:rsidRPr="00BB77FE">
              <w:rPr>
                <w:rFonts w:ascii="Aparajita" w:hAnsi="Aparajita" w:cs="Aparajita"/>
                <w:i/>
                <w:lang w:val="es-ES"/>
              </w:rPr>
              <w:t xml:space="preserve">“Es deber del Estado velar por la protección de la integridad del </w:t>
            </w:r>
            <w:r w:rsidRPr="00BB77FE">
              <w:rPr>
                <w:rFonts w:ascii="Aparajita" w:hAnsi="Aparajita" w:cs="Aparajita"/>
                <w:i/>
                <w:u w:val="single"/>
                <w:lang w:val="es-ES"/>
              </w:rPr>
              <w:t>espacio público</w:t>
            </w:r>
            <w:r w:rsidRPr="00BB77FE">
              <w:rPr>
                <w:rFonts w:ascii="Aparajita" w:hAnsi="Aparajita" w:cs="Aparajita"/>
                <w:i/>
                <w:lang w:val="es-ES"/>
              </w:rPr>
              <w:t xml:space="preserve"> y por su </w:t>
            </w:r>
            <w:r w:rsidRPr="00BB77FE">
              <w:rPr>
                <w:rFonts w:ascii="Aparajita" w:hAnsi="Aparajita" w:cs="Aparajita"/>
                <w:i/>
                <w:u w:val="single"/>
                <w:lang w:val="es-ES"/>
              </w:rPr>
              <w:t>destinación al uso común</w:t>
            </w:r>
            <w:r w:rsidRPr="00BB77FE">
              <w:rPr>
                <w:rFonts w:ascii="Aparajita" w:hAnsi="Aparajita" w:cs="Aparajita"/>
                <w:i/>
                <w:lang w:val="es-ES"/>
              </w:rPr>
              <w:t xml:space="preserve">, el cual prevalece sobre el interés particular. Las entidades públicas participarán en la plusvalía que genere su acción urbanística y regularán la </w:t>
            </w:r>
            <w:r w:rsidRPr="00BB77FE">
              <w:rPr>
                <w:rFonts w:ascii="Aparajita" w:hAnsi="Aparajita" w:cs="Aparajita"/>
                <w:i/>
                <w:u w:val="single"/>
                <w:lang w:val="es-ES"/>
              </w:rPr>
              <w:t>utilización del suelo</w:t>
            </w:r>
            <w:r w:rsidRPr="00BB77FE">
              <w:rPr>
                <w:rFonts w:ascii="Aparajita" w:hAnsi="Aparajita" w:cs="Aparajita"/>
                <w:i/>
                <w:lang w:val="es-ES"/>
              </w:rPr>
              <w:t xml:space="preserve"> y del espacio aéreo urbano en defensa del </w:t>
            </w:r>
            <w:r w:rsidRPr="00BB77FE">
              <w:rPr>
                <w:rFonts w:ascii="Aparajita" w:hAnsi="Aparajita" w:cs="Aparajita"/>
                <w:i/>
                <w:u w:val="single"/>
                <w:lang w:val="es-ES"/>
              </w:rPr>
              <w:t>interés común</w:t>
            </w:r>
            <w:r w:rsidRPr="00BB77FE">
              <w:rPr>
                <w:rFonts w:ascii="Aparajita" w:hAnsi="Aparajita" w:cs="Aparajita"/>
                <w:i/>
                <w:lang w:val="es-ES"/>
              </w:rPr>
              <w:t>.”</w:t>
            </w:r>
          </w:p>
          <w:p w:rsidR="00603022" w:rsidRPr="00BB77FE" w:rsidRDefault="00603022" w:rsidP="004978AF">
            <w:pPr>
              <w:jc w:val="both"/>
              <w:rPr>
                <w:rFonts w:ascii="Aparajita" w:hAnsi="Aparajita" w:cs="Aparajita"/>
                <w:lang w:val="es-ES"/>
              </w:rPr>
            </w:pPr>
            <w:r w:rsidRPr="00BB77FE">
              <w:rPr>
                <w:rFonts w:ascii="Aparajita" w:hAnsi="Aparajita" w:cs="Aparajita"/>
                <w:lang w:val="es-ES"/>
              </w:rPr>
              <w:t xml:space="preserve">De acuerdo con la Ley 9 de 1989, art. 5, el concepto de espacio público se predica de los bienes inmuebles y la categoría de espacio público pueden recaer tanto los bienes de propiedad pública, como los bienes de propiedad privada, pues aquello que define su naturaleza es la vocación a </w:t>
            </w:r>
            <w:r w:rsidRPr="00BB77FE">
              <w:rPr>
                <w:rFonts w:ascii="Aparajita" w:hAnsi="Aparajita" w:cs="Aparajita"/>
                <w:b/>
                <w:lang w:val="es-ES"/>
              </w:rPr>
              <w:t>satisfacer necesidades urbanas colectivas</w:t>
            </w:r>
            <w:r w:rsidRPr="00BB77FE">
              <w:rPr>
                <w:rFonts w:ascii="Aparajita" w:hAnsi="Aparajita" w:cs="Aparajita"/>
                <w:lang w:val="es-ES"/>
              </w:rPr>
              <w:t xml:space="preserve"> que trascienden los intereses individuales y, tal vocación puede surgir por la naturaleza misma del inmueble o por la destinación que le asigna la norma urbanística. </w:t>
            </w:r>
          </w:p>
          <w:p w:rsidR="00603022" w:rsidRPr="00BB77FE" w:rsidRDefault="00603022" w:rsidP="004978AF">
            <w:pPr>
              <w:jc w:val="both"/>
              <w:rPr>
                <w:rFonts w:ascii="Aparajita" w:hAnsi="Aparajita" w:cs="Aparajita"/>
                <w:lang w:val="es-ES"/>
              </w:rPr>
            </w:pPr>
            <w:r w:rsidRPr="00BB77FE">
              <w:rPr>
                <w:rFonts w:ascii="Aparajita" w:hAnsi="Aparajita" w:cs="Aparajita"/>
                <w:lang w:val="es-ES"/>
              </w:rPr>
              <w:t>La Ley 9 de 1989 y el Decreto 1504 de 1998 incluyen en este tipo de categoría elementos arquitectónicos de los inmuebles privados (o públicos), como: antejardines cubiertas, fachadas, paramentos, pórticos, cerramientos, etc., siempre que en sus Planes de Ordenamiento Territorial (POT) y demás normas urbanísticas del municipio, así lo dispongan.</w:t>
            </w:r>
          </w:p>
          <w:p w:rsidR="00603022" w:rsidRPr="00BB77FE" w:rsidRDefault="00603022" w:rsidP="004978AF">
            <w:pPr>
              <w:jc w:val="both"/>
              <w:rPr>
                <w:rFonts w:ascii="Aparajita" w:hAnsi="Aparajita" w:cs="Aparajita"/>
                <w:lang w:val="es-ES"/>
              </w:rPr>
            </w:pPr>
            <w:r w:rsidRPr="00BB77FE">
              <w:rPr>
                <w:rFonts w:ascii="Aparajita" w:hAnsi="Aparajita" w:cs="Aparajita"/>
                <w:lang w:val="es-ES"/>
              </w:rPr>
              <w:t>El mismo Decreto contempla también que en este concepto pueden entrar elementos naturales como: áreas para la conservación y preservación del sistema orográfico o de montañas (cerros, montañas, colinas, volcanes y nevados); áreas para la conservación y preservación del sistema hídrico (ríos, quebradas, arroyos, mares, ciénagas, lagos, pantanos, humedales, cuencas, etc.) y, áreas de especial interés ambiental, científico y paisajístico (parques naturales, áreas de reserva natural y santuarios de fauna y flora).</w:t>
            </w:r>
          </w:p>
          <w:p w:rsidR="00603022" w:rsidRPr="00BB77FE" w:rsidRDefault="00603022" w:rsidP="004978AF">
            <w:pPr>
              <w:jc w:val="both"/>
              <w:rPr>
                <w:rFonts w:ascii="Aparajita" w:hAnsi="Aparajita" w:cs="Aparajita"/>
                <w:lang w:val="es-ES"/>
              </w:rPr>
            </w:pPr>
            <w:r w:rsidRPr="00BB77FE">
              <w:rPr>
                <w:rFonts w:ascii="Aparajita" w:hAnsi="Aparajita" w:cs="Aparajita"/>
                <w:lang w:val="es-ES"/>
              </w:rPr>
              <w:t>En el marco de lo referido a generación de espacio público constituido por elementos naturales de los predios, puede verse que dentro de la competencia de expedición de los POT, a los municipios y distritos se les otorga la posibilidad de crear suelo protegido, de manera que pueden generar “</w:t>
            </w:r>
            <w:r w:rsidRPr="00BB77FE">
              <w:rPr>
                <w:rFonts w:ascii="Aparajita" w:hAnsi="Aparajita" w:cs="Aparajita"/>
                <w:i/>
                <w:lang w:val="es-ES"/>
              </w:rPr>
              <w:t>áreas de reserva y medidas para la protección del medio ambiente, conservación de los recursos naturales y defensa del paisaje, de conformidad con lo dispuesto en la Ley 99 de 1993 y el Código de Recursos Naturales, así como de las áreas de conservación y protección del patrimonio histórico, cultural y arquitectónico</w:t>
            </w:r>
            <w:r w:rsidRPr="00BB77FE">
              <w:rPr>
                <w:rFonts w:ascii="Aparajita" w:hAnsi="Aparajita" w:cs="Aparajita"/>
                <w:lang w:val="es-ES"/>
              </w:rPr>
              <w:t xml:space="preserve">” (art. 12, </w:t>
            </w:r>
            <w:proofErr w:type="spellStart"/>
            <w:r w:rsidRPr="00BB77FE">
              <w:rPr>
                <w:rFonts w:ascii="Aparajita" w:hAnsi="Aparajita" w:cs="Aparajita"/>
                <w:lang w:val="es-ES"/>
              </w:rPr>
              <w:t>num</w:t>
            </w:r>
            <w:proofErr w:type="spellEnd"/>
            <w:r w:rsidRPr="00BB77FE">
              <w:rPr>
                <w:rFonts w:ascii="Aparajita" w:hAnsi="Aparajita" w:cs="Aparajita"/>
                <w:lang w:val="es-ES"/>
              </w:rPr>
              <w:t xml:space="preserve">. 2.2 de la Ley 388 de 1997. También véase art. 30). </w:t>
            </w:r>
            <w:r w:rsidRPr="00BB77FE">
              <w:rPr>
                <w:rFonts w:ascii="Aparajita" w:hAnsi="Aparajita" w:cs="Aparajita"/>
              </w:rPr>
              <w:t xml:space="preserve">Para profundizar sobre la naturaleza del espacio público y su relación con la propiedad pública y la propiedad privada, haga clic en el siguiente link: </w:t>
            </w:r>
          </w:p>
        </w:tc>
      </w:tr>
    </w:tbl>
    <w:p w:rsidR="00603022" w:rsidRPr="00BB77FE" w:rsidRDefault="00603022" w:rsidP="00603022">
      <w:pPr>
        <w:pStyle w:val="NormalWeb"/>
        <w:spacing w:before="0" w:beforeAutospacing="0" w:after="0" w:afterAutospacing="0"/>
        <w:jc w:val="both"/>
        <w:rPr>
          <w:rFonts w:ascii="Arial" w:hAnsi="Arial" w:cs="Arial"/>
          <w:sz w:val="22"/>
          <w:szCs w:val="22"/>
          <w:shd w:val="clear" w:color="auto" w:fill="FFFFFF"/>
        </w:rPr>
      </w:pP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r w:rsidRPr="00BB77FE">
        <w:rPr>
          <w:rFonts w:ascii="Arial" w:hAnsi="Arial" w:cs="Arial"/>
          <w:i/>
          <w:sz w:val="22"/>
          <w:szCs w:val="22"/>
          <w:shd w:val="clear" w:color="auto" w:fill="FFFFFF"/>
        </w:rPr>
        <w:t>3. Multas sucesivas que oscilarán entre diez (10) y veinte (20) salarios mínimos legales diarios vigentes por metro cuadrado de intervención sobre el suelo o por metro cuadrado de construcción según sea el caso, sin que en ningún caso la multa supere los trescientos (300) salarios mínimos mensuales legales vigentes, para quienes parcelen, urbanicen o construyan en terrenos aptos para estas actuaciones, sin licencia, y la suspensión de los servicios públicos domiciliarios, de conformidad con lo señalado en la Ley 142 de 1994.</w:t>
      </w:r>
    </w:p>
    <w:p w:rsidR="00603022" w:rsidRPr="00BB77FE" w:rsidRDefault="00603022" w:rsidP="00603022">
      <w:pPr>
        <w:pStyle w:val="NormalWeb"/>
        <w:spacing w:before="0" w:beforeAutospacing="0" w:after="0" w:afterAutospacing="0"/>
        <w:jc w:val="both"/>
        <w:rPr>
          <w:rFonts w:ascii="Arial" w:hAnsi="Arial" w:cs="Arial"/>
          <w:sz w:val="22"/>
          <w:szCs w:val="22"/>
          <w:shd w:val="clear" w:color="auto" w:fill="FFFFFF"/>
        </w:rPr>
      </w:pPr>
    </w:p>
    <w:tbl>
      <w:tblPr>
        <w:tblStyle w:val="Tablaconcuadrcula"/>
        <w:tblW w:w="5000" w:type="pct"/>
        <w:shd w:val="clear" w:color="auto" w:fill="D8F0F8"/>
        <w:tblLook w:val="04A0" w:firstRow="1" w:lastRow="0" w:firstColumn="1" w:lastColumn="0" w:noHBand="0" w:noVBand="1"/>
      </w:tblPr>
      <w:tblGrid>
        <w:gridCol w:w="10188"/>
      </w:tblGrid>
      <w:tr w:rsidR="00603022" w:rsidRPr="00BB77FE" w:rsidTr="004978AF">
        <w:tc>
          <w:tcPr>
            <w:tcW w:w="5000" w:type="pct"/>
            <w:shd w:val="clear" w:color="auto" w:fill="D8F0F8"/>
          </w:tcPr>
          <w:p w:rsidR="00603022" w:rsidRPr="00BB77FE" w:rsidRDefault="00603022" w:rsidP="004978AF">
            <w:pPr>
              <w:tabs>
                <w:tab w:val="left" w:pos="3640"/>
              </w:tabs>
              <w:jc w:val="both"/>
              <w:rPr>
                <w:rFonts w:ascii="Agency FB" w:hAnsi="Agency FB" w:cs="Aparajita"/>
                <w:b/>
              </w:rPr>
            </w:pPr>
            <w:r w:rsidRPr="00BB77FE">
              <w:rPr>
                <w:rFonts w:ascii="Agency FB" w:hAnsi="Agency FB" w:cs="Aparajita"/>
                <w:b/>
              </w:rPr>
              <w:t>Comentario. Aplica para numerales 3 y 4.</w:t>
            </w:r>
            <w:r w:rsidRPr="00BB77FE">
              <w:rPr>
                <w:rFonts w:ascii="Agency FB" w:hAnsi="Agency FB" w:cs="Aparajita"/>
                <w:b/>
              </w:rPr>
              <w:tab/>
            </w:r>
          </w:p>
          <w:p w:rsidR="00603022" w:rsidRPr="00BB77FE" w:rsidRDefault="00603022" w:rsidP="004978AF">
            <w:pPr>
              <w:jc w:val="both"/>
              <w:rPr>
                <w:rFonts w:ascii="Aparajita" w:hAnsi="Aparajita" w:cs="Aparajita"/>
              </w:rPr>
            </w:pPr>
            <w:r w:rsidRPr="00BB77FE">
              <w:rPr>
                <w:rFonts w:ascii="Aparajita" w:hAnsi="Aparajita" w:cs="Aparajita"/>
              </w:rPr>
              <w:t>Para que proceda la imposición de las sanciones urbanísticas señaladas por parcelación, urbanización o construcción, en terrenos aptos para tales actuaciones urbanísticas, deben verificarse los siguientes elementos:</w:t>
            </w:r>
          </w:p>
          <w:p w:rsidR="00603022" w:rsidRPr="00BB77FE" w:rsidRDefault="00603022" w:rsidP="004978AF">
            <w:pPr>
              <w:jc w:val="both"/>
              <w:rPr>
                <w:rFonts w:ascii="Aparajita" w:hAnsi="Aparajita" w:cs="Aparajita"/>
              </w:rPr>
            </w:pPr>
            <w:r w:rsidRPr="00BB77FE">
              <w:rPr>
                <w:rFonts w:ascii="Aparajita" w:hAnsi="Aparajita" w:cs="Aparajita"/>
              </w:rPr>
              <w:t>a) Prueba de construcción que requería licencia (lo cual incluye sus características arquitectónicas y volumétricas).</w:t>
            </w:r>
          </w:p>
          <w:p w:rsidR="00603022" w:rsidRPr="00BB77FE" w:rsidRDefault="00603022" w:rsidP="004978AF">
            <w:pPr>
              <w:jc w:val="both"/>
              <w:rPr>
                <w:rFonts w:ascii="Aparajita" w:hAnsi="Aparajita" w:cs="Aparajita"/>
              </w:rPr>
            </w:pPr>
            <w:r w:rsidRPr="00BB77FE">
              <w:rPr>
                <w:rFonts w:ascii="Aparajita" w:hAnsi="Aparajita" w:cs="Aparajita"/>
              </w:rPr>
              <w:t>b) Que la construcción se realizó sin licencia, en contravención a la licencia o cuando esta había caducado.</w:t>
            </w:r>
          </w:p>
          <w:p w:rsidR="00603022" w:rsidRPr="00BB77FE" w:rsidRDefault="00603022" w:rsidP="004978AF">
            <w:pPr>
              <w:jc w:val="both"/>
              <w:rPr>
                <w:rFonts w:ascii="Aparajita" w:hAnsi="Aparajita" w:cs="Aparajita"/>
              </w:rPr>
            </w:pPr>
            <w:r w:rsidRPr="00BB77FE">
              <w:rPr>
                <w:rFonts w:ascii="Aparajita" w:hAnsi="Aparajita" w:cs="Aparajita"/>
              </w:rPr>
              <w:t>c) Si de acuerdo con las normas urbanísticas aplicables al predio, es posible o no, que las obras construidas irregularmente puedan adecuarse a la norma.</w:t>
            </w:r>
          </w:p>
          <w:p w:rsidR="00603022" w:rsidRPr="00BB77FE" w:rsidRDefault="00603022" w:rsidP="004978AF">
            <w:pPr>
              <w:jc w:val="both"/>
              <w:rPr>
                <w:rFonts w:ascii="Aparajita" w:hAnsi="Aparajita" w:cs="Aparajita"/>
              </w:rPr>
            </w:pPr>
            <w:r w:rsidRPr="00BB77FE">
              <w:rPr>
                <w:rFonts w:ascii="Aparajita" w:hAnsi="Aparajita" w:cs="Aparajita"/>
              </w:rPr>
              <w:t>d) Que la función pública de control urbanístico se está ejerciendo dentro del marco de competencia temporal que asigna la ley (caducidad).</w:t>
            </w:r>
          </w:p>
        </w:tc>
      </w:tr>
    </w:tbl>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r w:rsidRPr="00F37E83">
        <w:rPr>
          <w:rFonts w:ascii="Arial" w:hAnsi="Arial" w:cs="Arial"/>
          <w:i/>
          <w:color w:val="000000"/>
          <w:sz w:val="22"/>
          <w:szCs w:val="22"/>
          <w:shd w:val="clear" w:color="auto" w:fill="FFFFFF"/>
        </w:rPr>
        <w:t xml:space="preserve">También se aplicará esta sanción a quienes demuelan inmuebles declarados de conservación arquitectónica o realicen intervenciones sobre los mismos sin la licencia respectiva, o </w:t>
      </w:r>
      <w:r w:rsidRPr="00BB77FE">
        <w:rPr>
          <w:rFonts w:ascii="Arial" w:hAnsi="Arial" w:cs="Arial"/>
          <w:i/>
          <w:sz w:val="22"/>
          <w:szCs w:val="22"/>
          <w:shd w:val="clear" w:color="auto" w:fill="FFFFFF"/>
        </w:rPr>
        <w:t>incumplan las obligaciones de adecuada conservación, sin perjuicio de la obligación de reconstrucción prevista en la presente ley. En estos casos la sanción no podrá ser inferior a los setenta (70) salarios mínimos mensuales legales vigentes.</w:t>
      </w: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BB77FE">
        <w:rPr>
          <w:rFonts w:ascii="Arial" w:hAnsi="Arial" w:cs="Arial"/>
          <w:i/>
          <w:sz w:val="22"/>
          <w:szCs w:val="22"/>
          <w:shd w:val="clear" w:color="auto" w:fill="FFFFFF"/>
        </w:rPr>
        <w:t xml:space="preserve">4. Multas sucesivas que oscilan entre ocho (8) y quince (15) salarios mínimos legales diarios vigentes por metro </w:t>
      </w:r>
      <w:r w:rsidRPr="00F37E83">
        <w:rPr>
          <w:rFonts w:ascii="Arial" w:hAnsi="Arial" w:cs="Arial"/>
          <w:i/>
          <w:color w:val="000000"/>
          <w:sz w:val="22"/>
          <w:szCs w:val="22"/>
          <w:shd w:val="clear" w:color="auto" w:fill="FFFFFF"/>
        </w:rPr>
        <w:t>cuadrado de intervención sobre el suelo o por metros cuadrados de construcción según sea el caso, sin que en ningún caso la multa supere los doscientos (200) salarios mínimos legales vigentes para quienes parcelen, urbanicen o construyan en terrenos aptos para estas actuaciones en contravención a lo preceptuado en la licencia, o cuando esta haya caducado, y la suspensión de servicios públicos domiciliarios, de conformidad con lo señalado en la Ley 142 de 1994.</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En la misma sanción incurrirán quienes usen o destinen un inmueble a un uso diferente al señalado en la licencia, o contraviniendo las normas urbanísticas sobre usos específicos del suelo.</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color w:val="000000"/>
          <w:sz w:val="22"/>
          <w:szCs w:val="22"/>
          <w:shd w:val="clear" w:color="auto" w:fill="FFFFFF"/>
        </w:rPr>
      </w:pPr>
      <w:r w:rsidRPr="00F37E83">
        <w:rPr>
          <w:rFonts w:ascii="Arial" w:hAnsi="Arial" w:cs="Arial"/>
          <w:i/>
          <w:color w:val="000000"/>
          <w:sz w:val="22"/>
          <w:szCs w:val="22"/>
          <w:shd w:val="clear" w:color="auto" w:fill="FFFFFF"/>
        </w:rPr>
        <w:t>En el caso de establecimientos comerciales que no cumplan con las normas referentes a usos del suelo se aplicarán, en lo pertinente, los procedimientos y las sanciones previstas para este tipo de infracciones en la Ley 232 de 1995 o en aquellas normas que la adicionen, modifiquen o complementen.</w:t>
      </w:r>
    </w:p>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D8F0F8"/>
        <w:tblLook w:val="04A0" w:firstRow="1" w:lastRow="0" w:firstColumn="1" w:lastColumn="0" w:noHBand="0" w:noVBand="1"/>
      </w:tblPr>
      <w:tblGrid>
        <w:gridCol w:w="10188"/>
      </w:tblGrid>
      <w:tr w:rsidR="00603022" w:rsidRPr="00091420" w:rsidTr="004978AF">
        <w:tc>
          <w:tcPr>
            <w:tcW w:w="5000" w:type="pct"/>
            <w:shd w:val="clear" w:color="auto" w:fill="D8F0F8"/>
          </w:tcPr>
          <w:p w:rsidR="00603022" w:rsidRPr="00091420" w:rsidRDefault="00603022" w:rsidP="004978AF">
            <w:pPr>
              <w:jc w:val="both"/>
              <w:rPr>
                <w:rFonts w:ascii="Agency FB" w:hAnsi="Agency FB" w:cs="Aparajita"/>
                <w:b/>
              </w:rPr>
            </w:pPr>
            <w:r w:rsidRPr="00091420">
              <w:rPr>
                <w:rFonts w:ascii="Agency FB" w:hAnsi="Agency FB" w:cs="Aparajita"/>
                <w:b/>
              </w:rPr>
              <w:t>Comentario.</w:t>
            </w:r>
          </w:p>
          <w:p w:rsidR="00603022" w:rsidRPr="00091420" w:rsidRDefault="00603022" w:rsidP="004978AF">
            <w:pPr>
              <w:jc w:val="both"/>
              <w:rPr>
                <w:rFonts w:ascii="Aparajita" w:hAnsi="Aparajita" w:cs="Aparajita"/>
              </w:rPr>
            </w:pPr>
            <w:r w:rsidRPr="00091420">
              <w:rPr>
                <w:rFonts w:ascii="Aparajita" w:hAnsi="Aparajita" w:cs="Aparajita"/>
              </w:rPr>
              <w:t>La Ley 232 de 1995 establece que el procedimiento de control para verificar que los establecimientos de comercio abiertos al público cumplan con los requisitos legales de funcionamiento. La autoridad municipal debe verificar si el responsable del establecimiento cumple o no con los requisitos exigidos. Si no acredita el cumplimiento de todos, debe requerirlo para que en 30 días acredite el cumplimiento de los faltantes, si no lo hace, procede con la imposición de multas, si persiste el incumplimiento se continúa con la orden de suspensión de actividades y, finalmente, si persiste el incumplimiento se ordena el cierre.</w:t>
            </w:r>
          </w:p>
          <w:p w:rsidR="00603022" w:rsidRPr="00091420" w:rsidRDefault="00603022" w:rsidP="004978AF">
            <w:pPr>
              <w:jc w:val="both"/>
              <w:rPr>
                <w:rFonts w:ascii="Aparajita" w:hAnsi="Aparajita" w:cs="Aparajita"/>
              </w:rPr>
            </w:pPr>
            <w:r w:rsidRPr="00091420">
              <w:rPr>
                <w:rFonts w:ascii="Aparajita" w:hAnsi="Aparajita" w:cs="Aparajita"/>
              </w:rPr>
              <w:t>Ahora, en el momento en que se determine que existe un requisito que es de imposible cumplimiento, se debe proceder a ordenar el cierre del establecimiento, sin que sea necesario el agotamiento previo de las tres etapas antes enunciadas (eso sí, garantizando plenamente el debido proceso).</w:t>
            </w:r>
          </w:p>
        </w:tc>
      </w:tr>
    </w:tbl>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603022" w:rsidRPr="00F37E83" w:rsidTr="004978AF">
        <w:tc>
          <w:tcPr>
            <w:tcW w:w="5000" w:type="pct"/>
            <w:shd w:val="clear" w:color="auto" w:fill="E4F9B1"/>
          </w:tcPr>
          <w:p w:rsidR="00603022" w:rsidRPr="00F37E83" w:rsidRDefault="00603022" w:rsidP="004978AF">
            <w:pPr>
              <w:jc w:val="both"/>
              <w:rPr>
                <w:rFonts w:ascii="Agency FB" w:hAnsi="Agency FB" w:cs="Aparajita"/>
                <w:b/>
              </w:rPr>
            </w:pPr>
            <w:r w:rsidRPr="00F37E83">
              <w:rPr>
                <w:rFonts w:ascii="Agency FB" w:hAnsi="Agency FB" w:cs="Aparajita"/>
                <w:b/>
              </w:rPr>
              <w:t>Concordancia. El Código de Comercio señala:</w:t>
            </w:r>
          </w:p>
          <w:p w:rsidR="00C22910" w:rsidRDefault="00C22910" w:rsidP="004978AF">
            <w:pPr>
              <w:jc w:val="both"/>
              <w:rPr>
                <w:rFonts w:ascii="Aparajita" w:hAnsi="Aparajita" w:cs="Aparajita"/>
              </w:rPr>
            </w:pPr>
          </w:p>
          <w:p w:rsidR="00603022" w:rsidRPr="00F37E83" w:rsidRDefault="00603022" w:rsidP="004978AF">
            <w:pPr>
              <w:jc w:val="both"/>
              <w:rPr>
                <w:rFonts w:ascii="Aparajita" w:hAnsi="Aparajita" w:cs="Aparajita"/>
              </w:rPr>
            </w:pPr>
            <w:r w:rsidRPr="00F37E83">
              <w:rPr>
                <w:rFonts w:ascii="Aparajita" w:hAnsi="Aparajita" w:cs="Aparajita"/>
              </w:rPr>
              <w:t>ARTÍCULO 25. EMPRESA - CONCEPTO. Se entenderá por empresa toda actividad económica organizada para la producción, transformación, circulación, administración o custodia de bienes, o para la prestación de servicios. Dicha actividad se realizará a través de uno o más establecimientos de comercio.</w:t>
            </w:r>
          </w:p>
          <w:p w:rsidR="00603022" w:rsidRPr="00F37E83" w:rsidRDefault="00603022" w:rsidP="004978AF">
            <w:pPr>
              <w:jc w:val="both"/>
              <w:rPr>
                <w:rFonts w:ascii="Aparajita" w:hAnsi="Aparajita" w:cs="Aparajita"/>
              </w:rPr>
            </w:pPr>
            <w:r w:rsidRPr="00F37E83">
              <w:rPr>
                <w:rFonts w:ascii="Aparajita" w:hAnsi="Aparajita" w:cs="Aparajita"/>
              </w:rPr>
              <w:t>ARTÍCULO 515. DEFINICIÓN DE ESTABLECIMIENTO DE COMERCIO. Se entiende por establecimiento de comercio un conjunto de bienes organizados por el empresario para realizar los fines de la empresa. Una misma persona podrá tener varios establecimientos de comercio, y, a su vez, un solo establecimiento de comercio podrá pertenecer a varias personas, y destinarse al desarrollo de diversas actividades comerciales.</w:t>
            </w:r>
          </w:p>
          <w:p w:rsidR="00603022" w:rsidRPr="00F37E83" w:rsidRDefault="00603022" w:rsidP="004978AF">
            <w:pPr>
              <w:jc w:val="both"/>
              <w:rPr>
                <w:rFonts w:ascii="Aparajita" w:hAnsi="Aparajita" w:cs="Aparajita"/>
              </w:rPr>
            </w:pPr>
            <w:r w:rsidRPr="00F37E83">
              <w:rPr>
                <w:rFonts w:ascii="Aparajita" w:hAnsi="Aparajita" w:cs="Aparajita"/>
              </w:rPr>
              <w:t>ARTÍCULO 516. ELEMENTOS DEL ESTABLECIMIENTO DE COMERCIO. Salvo estipulación en contrario, se entiende que forman parte de un establecimiento de comercio:</w:t>
            </w:r>
          </w:p>
          <w:p w:rsidR="00603022" w:rsidRPr="00F37E83" w:rsidRDefault="00603022" w:rsidP="004978AF">
            <w:pPr>
              <w:jc w:val="both"/>
              <w:rPr>
                <w:rFonts w:ascii="Aparajita" w:hAnsi="Aparajita" w:cs="Aparajita"/>
              </w:rPr>
            </w:pPr>
            <w:r w:rsidRPr="00F37E83">
              <w:rPr>
                <w:rFonts w:ascii="Aparajita" w:hAnsi="Aparajita" w:cs="Aparajita"/>
              </w:rPr>
              <w:t>1) La enseña o nombre comercial y las marcas de productos y de servicios;</w:t>
            </w:r>
          </w:p>
          <w:p w:rsidR="00603022" w:rsidRPr="00F37E83" w:rsidRDefault="00603022" w:rsidP="004978AF">
            <w:pPr>
              <w:jc w:val="both"/>
              <w:rPr>
                <w:rFonts w:ascii="Aparajita" w:hAnsi="Aparajita" w:cs="Aparajita"/>
              </w:rPr>
            </w:pPr>
            <w:r w:rsidRPr="00F37E83">
              <w:rPr>
                <w:rFonts w:ascii="Aparajita" w:hAnsi="Aparajita" w:cs="Aparajita"/>
              </w:rPr>
              <w:t>2) Los derechos del empresario sobre las invenciones o creaciones industriales o artísticas que se utilicen en las actividades del establecimiento;</w:t>
            </w:r>
          </w:p>
          <w:p w:rsidR="00603022" w:rsidRPr="00F37E83" w:rsidRDefault="00603022" w:rsidP="004978AF">
            <w:pPr>
              <w:jc w:val="both"/>
              <w:rPr>
                <w:rFonts w:ascii="Aparajita" w:hAnsi="Aparajita" w:cs="Aparajita"/>
              </w:rPr>
            </w:pPr>
            <w:r w:rsidRPr="00F37E83">
              <w:rPr>
                <w:rFonts w:ascii="Aparajita" w:hAnsi="Aparajita" w:cs="Aparajita"/>
              </w:rPr>
              <w:t>3) Las mercancías en almacén o en proceso de elaboración, los créditos y los demás valores similares;</w:t>
            </w:r>
          </w:p>
          <w:p w:rsidR="00603022" w:rsidRPr="00F37E83" w:rsidRDefault="00603022" w:rsidP="004978AF">
            <w:pPr>
              <w:jc w:val="both"/>
              <w:rPr>
                <w:rFonts w:ascii="Aparajita" w:hAnsi="Aparajita" w:cs="Aparajita"/>
              </w:rPr>
            </w:pPr>
            <w:r w:rsidRPr="00F37E83">
              <w:rPr>
                <w:rFonts w:ascii="Aparajita" w:hAnsi="Aparajita" w:cs="Aparajita"/>
              </w:rPr>
              <w:t>4) El mobiliario y las instalaciones;</w:t>
            </w:r>
          </w:p>
          <w:p w:rsidR="00603022" w:rsidRPr="00F37E83" w:rsidRDefault="00603022" w:rsidP="004978AF">
            <w:pPr>
              <w:jc w:val="both"/>
              <w:rPr>
                <w:rFonts w:ascii="Aparajita" w:hAnsi="Aparajita" w:cs="Aparajita"/>
              </w:rPr>
            </w:pPr>
            <w:r w:rsidRPr="00F37E83">
              <w:rPr>
                <w:rFonts w:ascii="Aparajita" w:hAnsi="Aparajita" w:cs="Aparajita"/>
              </w:rPr>
              <w:t>5) Los contratos de arrendamiento y, en caso de enajenación, el derecho al arrendamiento de los locales en que funciona si son de propiedad del empresario, y las indemnizaciones que, conforme a la ley, tenga el arrendatario;</w:t>
            </w:r>
          </w:p>
          <w:p w:rsidR="00603022" w:rsidRPr="00F37E83" w:rsidRDefault="00603022" w:rsidP="004978AF">
            <w:pPr>
              <w:jc w:val="both"/>
              <w:rPr>
                <w:rFonts w:ascii="Aparajita" w:hAnsi="Aparajita" w:cs="Aparajita"/>
              </w:rPr>
            </w:pPr>
            <w:r w:rsidRPr="00F37E83">
              <w:rPr>
                <w:rFonts w:ascii="Aparajita" w:hAnsi="Aparajita" w:cs="Aparajita"/>
              </w:rPr>
              <w:t>6) El derecho a impedir la desviación de la clientela y a la protección de la fama comercial, y</w:t>
            </w:r>
          </w:p>
          <w:p w:rsidR="00603022" w:rsidRPr="00F37E83" w:rsidRDefault="00603022" w:rsidP="004978AF">
            <w:pPr>
              <w:jc w:val="both"/>
              <w:rPr>
                <w:rFonts w:ascii="Aparajita" w:hAnsi="Aparajita" w:cs="Aparajita"/>
              </w:rPr>
            </w:pPr>
            <w:r w:rsidRPr="00F37E83">
              <w:rPr>
                <w:rFonts w:ascii="Aparajita" w:hAnsi="Aparajita" w:cs="Aparajita"/>
              </w:rPr>
              <w:t>7) Los derechos y obligaciones mercantiles derivados de las actividades propias del establecimiento, siempre que no provengan de contratos celebrados exclusivamente en consideración al titular de dicho establecimiento.</w:t>
            </w:r>
          </w:p>
        </w:tc>
      </w:tr>
    </w:tbl>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5. La demolición total o parcial de las obras desarrolladas sin licencia, o de la parte de las mismas no autorizada o ejecutada en contravención a la licencia, a costa del interesado, pudiéndose cobrar por jurisdicción coactiva si es del caso, cuando sea evidente que el infractor no se puede adecuar a la norma.</w:t>
      </w:r>
    </w:p>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D8F0F8"/>
        <w:tblLook w:val="04A0" w:firstRow="1" w:lastRow="0" w:firstColumn="1" w:lastColumn="0" w:noHBand="0" w:noVBand="1"/>
      </w:tblPr>
      <w:tblGrid>
        <w:gridCol w:w="10188"/>
      </w:tblGrid>
      <w:tr w:rsidR="00603022" w:rsidRPr="00091420" w:rsidTr="004978AF">
        <w:tc>
          <w:tcPr>
            <w:tcW w:w="5000" w:type="pct"/>
            <w:shd w:val="clear" w:color="auto" w:fill="D8F0F8"/>
          </w:tcPr>
          <w:p w:rsidR="00603022" w:rsidRPr="00091420" w:rsidRDefault="00603022" w:rsidP="004978AF">
            <w:pPr>
              <w:jc w:val="both"/>
              <w:rPr>
                <w:rFonts w:ascii="Agency FB" w:hAnsi="Agency FB" w:cs="Aparajita"/>
                <w:b/>
              </w:rPr>
            </w:pPr>
            <w:r w:rsidRPr="00091420">
              <w:rPr>
                <w:rFonts w:ascii="Agency FB" w:hAnsi="Agency FB" w:cs="Aparajita"/>
                <w:b/>
              </w:rPr>
              <w:t>Comentario.</w:t>
            </w:r>
          </w:p>
          <w:p w:rsidR="00603022" w:rsidRPr="00091420" w:rsidRDefault="00603022" w:rsidP="004978AF">
            <w:pPr>
              <w:jc w:val="both"/>
              <w:rPr>
                <w:rFonts w:ascii="Aparajita" w:hAnsi="Aparajita" w:cs="Aparajita"/>
              </w:rPr>
            </w:pPr>
            <w:r w:rsidRPr="00091420">
              <w:rPr>
                <w:rFonts w:ascii="Aparajita" w:hAnsi="Aparajita" w:cs="Aparajita"/>
              </w:rPr>
              <w:t>Quien incurra en cualquiera de las cuatro conductas principales enunciadas en cada uno de los cuatro numerales puede ser declarado infractor de las normas urbanísticas y sujeto de la imposición de multas. Si se trata de alguna de las dos primeras conductas, adicional y simultáneamente a la imposición de la multa, procede la orden de demolición. Si se trata de la tercera o cuarta conducta, luego de la imposición de la multa, para que el infractor se adecue a las normas urbanísticas (obteniendo la licencia correspondiente, adecuando las obras a la licencia correspondiente, tramitando su renovación o demoliendo) se otorgará un plazo de 60 días al cabo del cual, de no demostrarse tal adecuación, se ordenará la demolición de las obras ejecutadas y la imposición sucesiva de nuevas multas (art. 3 de esta ley).</w:t>
            </w:r>
          </w:p>
          <w:p w:rsidR="00603022" w:rsidRPr="00091420" w:rsidRDefault="00603022" w:rsidP="004978AF">
            <w:pPr>
              <w:jc w:val="both"/>
              <w:rPr>
                <w:rFonts w:ascii="Aparajita" w:hAnsi="Aparajita" w:cs="Aparajita"/>
              </w:rPr>
            </w:pPr>
            <w:r w:rsidRPr="00091420">
              <w:rPr>
                <w:rFonts w:ascii="Aparajita" w:hAnsi="Aparajita" w:cs="Aparajita"/>
              </w:rPr>
              <w:t xml:space="preserve">En estos dos eventos, los contemplados en los numerales 3 y 4, esto es, la construcción sin licencia o en contravención a la misma, cuando sea evidente que el infractor no se puede adecuar a la norma, sin la previa imposición de multa, se procederá directamente a ordenar la demolición total o parcial de las obras desarrolladas sin licencia, o de la parte de las mismas no autorizada o ejecutada en contravención a la licencia, de conformidad con lo señalado en el </w:t>
            </w:r>
            <w:proofErr w:type="spellStart"/>
            <w:r w:rsidRPr="00091420">
              <w:rPr>
                <w:rFonts w:ascii="Aparajita" w:hAnsi="Aparajita" w:cs="Aparajita"/>
              </w:rPr>
              <w:t>num</w:t>
            </w:r>
            <w:proofErr w:type="spellEnd"/>
            <w:r w:rsidRPr="00091420">
              <w:rPr>
                <w:rFonts w:ascii="Aparajita" w:hAnsi="Aparajita" w:cs="Aparajita"/>
              </w:rPr>
              <w:t>. 5.</w:t>
            </w:r>
          </w:p>
          <w:p w:rsidR="00603022" w:rsidRPr="00091420" w:rsidRDefault="00603022" w:rsidP="004978AF">
            <w:pPr>
              <w:jc w:val="both"/>
              <w:rPr>
                <w:rFonts w:ascii="Aparajita" w:hAnsi="Aparajita" w:cs="Aparajita"/>
              </w:rPr>
            </w:pPr>
            <w:r w:rsidRPr="00091420">
              <w:rPr>
                <w:rFonts w:ascii="Aparajita" w:hAnsi="Aparajita" w:cs="Aparajita"/>
              </w:rPr>
              <w:t>En este último evento se cuenta la construcción de obras que contravienen las reglas o condiciones de edificabilidad aplicable al predio, tales como construcciones en áreas de antejardín, en aislamientos, en pisos que superen la máxima altura permitida en el sector o los índices de ocupación o construcción, etc. Obras para las cuales es evidente que el infractor no podría adecuarse a la norma con la obtención de la licencia, por cuanto las Curadurías Urbanas u oficinas de planeación no pueden otorgar licencia para la construcción de las mismas, siendo procedente de manera directa la orden de demolición.</w:t>
            </w:r>
          </w:p>
        </w:tc>
      </w:tr>
    </w:tbl>
    <w:p w:rsidR="00603022" w:rsidRPr="00F37E83" w:rsidRDefault="00603022" w:rsidP="00603022">
      <w:pPr>
        <w:pStyle w:val="NormalWeb"/>
        <w:spacing w:before="0" w:beforeAutospacing="0" w:after="0" w:afterAutospacing="0"/>
        <w:jc w:val="both"/>
        <w:rPr>
          <w:rFonts w:ascii="Arial" w:hAnsi="Arial" w:cs="Arial"/>
          <w:b/>
          <w:bCs/>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b/>
          <w:bCs/>
          <w:i/>
          <w:color w:val="000000"/>
          <w:sz w:val="22"/>
          <w:szCs w:val="22"/>
          <w:shd w:val="clear" w:color="auto" w:fill="FFFFFF"/>
        </w:rPr>
        <w:t>Parágrafo.</w:t>
      </w:r>
      <w:r w:rsidRPr="00F37E83">
        <w:rPr>
          <w:rStyle w:val="apple-converted-space"/>
          <w:rFonts w:ascii="Arial" w:hAnsi="Arial" w:cs="Arial"/>
          <w:b/>
          <w:bCs/>
          <w:i/>
          <w:color w:val="000000"/>
          <w:sz w:val="22"/>
          <w:szCs w:val="22"/>
          <w:shd w:val="clear" w:color="auto" w:fill="FFFFFF"/>
        </w:rPr>
        <w:t> </w:t>
      </w:r>
      <w:r w:rsidRPr="00F37E83">
        <w:rPr>
          <w:rFonts w:ascii="Arial" w:hAnsi="Arial" w:cs="Arial"/>
          <w:i/>
          <w:color w:val="000000"/>
          <w:sz w:val="22"/>
          <w:szCs w:val="22"/>
          <w:shd w:val="clear" w:color="auto" w:fill="FFFFFF"/>
        </w:rPr>
        <w:t>Tiene el carácter de grave toda infracción urbanística contemplada en la presente Ley que genere impactos ambientales no mitigables o el deterioro irreparable de los recursos naturales o del patrimonio arquitectónico y cultural la reincidencia de la falta, o la contravención a normas urbanísticas estructurales del Plan de Ordenamiento Territorial de acuerdo con lo establecido en el artículo 15 de la Ley 388 de 1997, así como la contravención a las normas establecidas en la Ley 400 de 1997.</w:t>
      </w:r>
    </w:p>
    <w:p w:rsidR="00603022" w:rsidRPr="00F37E83" w:rsidRDefault="00603022" w:rsidP="00603022">
      <w:pPr>
        <w:pStyle w:val="NormalWeb"/>
        <w:tabs>
          <w:tab w:val="left" w:pos="5816"/>
        </w:tabs>
        <w:spacing w:before="0" w:beforeAutospacing="0" w:after="0" w:afterAutospacing="0"/>
        <w:jc w:val="both"/>
        <w:rPr>
          <w:rFonts w:ascii="Arial" w:hAnsi="Arial" w:cs="Arial"/>
          <w:b/>
          <w:bCs/>
          <w:color w:val="000000"/>
          <w:sz w:val="22"/>
          <w:szCs w:val="22"/>
          <w:shd w:val="clear" w:color="auto" w:fill="FFFFFF"/>
        </w:rPr>
      </w:pPr>
      <w:r w:rsidRPr="00F37E83">
        <w:rPr>
          <w:rFonts w:ascii="Arial" w:hAnsi="Arial" w:cs="Arial"/>
          <w:b/>
          <w:bCs/>
          <w:color w:val="000000"/>
          <w:sz w:val="22"/>
          <w:szCs w:val="22"/>
          <w:shd w:val="clear" w:color="auto" w:fill="FFFFFF"/>
        </w:rPr>
        <w:tab/>
      </w:r>
    </w:p>
    <w:p w:rsidR="00603022" w:rsidRPr="00C25515" w:rsidRDefault="00603022" w:rsidP="00603022">
      <w:pPr>
        <w:pStyle w:val="NormalWeb"/>
        <w:spacing w:before="0" w:beforeAutospacing="0" w:after="0" w:afterAutospacing="0"/>
        <w:jc w:val="both"/>
        <w:rPr>
          <w:rFonts w:ascii="Arial" w:hAnsi="Arial" w:cs="Arial"/>
          <w:color w:val="00AFF0"/>
          <w:sz w:val="22"/>
          <w:szCs w:val="22"/>
          <w:shd w:val="clear" w:color="auto" w:fill="FFFFFF"/>
        </w:rPr>
      </w:pPr>
      <w:r w:rsidRPr="00F37E83">
        <w:rPr>
          <w:rFonts w:ascii="Arial" w:hAnsi="Arial" w:cs="Arial"/>
          <w:b/>
          <w:bCs/>
          <w:color w:val="000000"/>
          <w:sz w:val="22"/>
          <w:szCs w:val="22"/>
          <w:shd w:val="clear" w:color="auto" w:fill="FFFFFF"/>
        </w:rPr>
        <w:t xml:space="preserve">Artículo 3. </w:t>
      </w:r>
      <w:r w:rsidRPr="00C25515">
        <w:rPr>
          <w:rFonts w:ascii="Arial" w:hAnsi="Arial" w:cs="Arial"/>
          <w:color w:val="00AFF0"/>
          <w:sz w:val="22"/>
          <w:szCs w:val="22"/>
          <w:shd w:val="clear" w:color="auto" w:fill="FFFFFF"/>
        </w:rPr>
        <w:t>El artículo</w:t>
      </w:r>
      <w:r w:rsidRPr="00C25515">
        <w:rPr>
          <w:rStyle w:val="apple-converted-space"/>
          <w:rFonts w:ascii="Arial" w:hAnsi="Arial" w:cs="Arial"/>
          <w:color w:val="00AFF0"/>
          <w:sz w:val="22"/>
          <w:szCs w:val="22"/>
          <w:shd w:val="clear" w:color="auto" w:fill="FFFFFF"/>
        </w:rPr>
        <w:t> </w:t>
      </w:r>
      <w:hyperlink r:id="rId10" w:anchor="105" w:history="1">
        <w:r w:rsidRPr="00C25515">
          <w:rPr>
            <w:rStyle w:val="Hipervnculo"/>
            <w:rFonts w:ascii="Arial" w:hAnsi="Arial" w:cs="Arial"/>
            <w:color w:val="00AFF0"/>
            <w:sz w:val="22"/>
            <w:szCs w:val="22"/>
            <w:u w:val="none"/>
            <w:shd w:val="clear" w:color="auto" w:fill="FFFFFF"/>
          </w:rPr>
          <w:t>105</w:t>
        </w:r>
      </w:hyperlink>
      <w:r w:rsidRPr="00C25515">
        <w:rPr>
          <w:rStyle w:val="apple-converted-space"/>
          <w:rFonts w:ascii="Arial" w:hAnsi="Arial" w:cs="Arial"/>
          <w:color w:val="00AFF0"/>
          <w:sz w:val="22"/>
          <w:szCs w:val="22"/>
          <w:shd w:val="clear" w:color="auto" w:fill="FFFFFF"/>
        </w:rPr>
        <w:t> </w:t>
      </w:r>
      <w:r w:rsidRPr="00C25515">
        <w:rPr>
          <w:rFonts w:ascii="Arial" w:hAnsi="Arial" w:cs="Arial"/>
          <w:color w:val="00AFF0"/>
          <w:sz w:val="22"/>
          <w:szCs w:val="22"/>
          <w:shd w:val="clear" w:color="auto" w:fill="FFFFFF"/>
        </w:rPr>
        <w:t>de la Ley 388 de 1997 quedará así:</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C25515">
        <w:rPr>
          <w:rStyle w:val="Textoennegrita"/>
          <w:rFonts w:ascii="Arial" w:hAnsi="Arial" w:cs="Arial"/>
          <w:i/>
          <w:color w:val="00AFF0"/>
          <w:sz w:val="22"/>
          <w:szCs w:val="22"/>
          <w:shd w:val="clear" w:color="auto" w:fill="FFFFFF"/>
        </w:rPr>
        <w:t>Artículo 105</w:t>
      </w:r>
      <w:r w:rsidRPr="00C25515">
        <w:rPr>
          <w:rStyle w:val="Textoennegrita"/>
          <w:rFonts w:ascii="Arial" w:hAnsi="Arial" w:cs="Arial"/>
          <w:i/>
          <w:iCs/>
          <w:color w:val="00AFF0"/>
          <w:sz w:val="22"/>
          <w:szCs w:val="22"/>
          <w:shd w:val="clear" w:color="auto" w:fill="FFFFFF"/>
        </w:rPr>
        <w:t>.</w:t>
      </w:r>
      <w:r w:rsidRPr="00C25515">
        <w:rPr>
          <w:rStyle w:val="apple-converted-space"/>
          <w:rFonts w:ascii="Arial" w:hAnsi="Arial" w:cs="Arial"/>
          <w:b/>
          <w:bCs/>
          <w:i/>
          <w:color w:val="00AFF0"/>
          <w:sz w:val="22"/>
          <w:szCs w:val="22"/>
          <w:shd w:val="clear" w:color="auto" w:fill="FFFFFF"/>
        </w:rPr>
        <w:t> </w:t>
      </w:r>
      <w:r w:rsidRPr="00C25515">
        <w:rPr>
          <w:rStyle w:val="Textoennegrita"/>
          <w:rFonts w:ascii="Arial" w:hAnsi="Arial" w:cs="Arial"/>
          <w:i/>
          <w:iCs/>
          <w:color w:val="00AFF0"/>
          <w:sz w:val="22"/>
          <w:szCs w:val="22"/>
          <w:shd w:val="clear" w:color="auto" w:fill="FFFFFF"/>
        </w:rPr>
        <w:t>Adecuación a las normas.</w:t>
      </w:r>
      <w:r w:rsidRPr="00F37E83">
        <w:rPr>
          <w:rStyle w:val="apple-converted-space"/>
          <w:rFonts w:ascii="Arial" w:hAnsi="Arial" w:cs="Arial"/>
          <w:i/>
          <w:color w:val="000000"/>
          <w:sz w:val="22"/>
          <w:szCs w:val="22"/>
          <w:shd w:val="clear" w:color="auto" w:fill="FFFFFF"/>
        </w:rPr>
        <w:t> </w:t>
      </w:r>
      <w:r w:rsidRPr="00F37E83">
        <w:rPr>
          <w:rFonts w:ascii="Arial" w:hAnsi="Arial" w:cs="Arial"/>
          <w:i/>
          <w:color w:val="000000"/>
          <w:sz w:val="22"/>
          <w:szCs w:val="22"/>
          <w:shd w:val="clear" w:color="auto" w:fill="FFFFFF"/>
        </w:rPr>
        <w:t>En los casos previstos en el numeral 3 del artículo precedente, en el mismo acto que impone la sanción se ratificará la medida policiva de suspensión y sellamiento de las obras y se dispondrá de un plazo de sesenta (60) días para que el infractor se adecue a las normas obteniendo la licencia correspondiente. Si vencido este plazo no se hubiere obtenido la licencia, se procederá a ordenar la demolición de las obras ejecutadas a costa del interesado y la imposición de las multas sucesivas en la cuantía que corresponda, teniendo en cuenta la gravedad de la conducta infractora, además de la ratificación de la suspensión de los servicios públicos domiciliarios.</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 xml:space="preserve">En los casos previstos en el numeral 4 del artículo 104 de la presente ley, en el mismo acto que </w:t>
      </w:r>
      <w:r w:rsidRPr="00BB77FE">
        <w:rPr>
          <w:rFonts w:ascii="Arial" w:hAnsi="Arial" w:cs="Arial"/>
          <w:i/>
          <w:sz w:val="22"/>
          <w:szCs w:val="22"/>
          <w:shd w:val="clear" w:color="auto" w:fill="FFFFFF"/>
        </w:rPr>
        <w:t xml:space="preserve">impone la sanción se ordenará la suspensión de los servicios públicos domiciliarios y se ratificará la medida policiva de suspensión y sellamiento de las obras. El infractor dispondrá de sesenta (60) días para adecuar las obras a la licencia correspondiente </w:t>
      </w:r>
      <w:r w:rsidRPr="00F37E83">
        <w:rPr>
          <w:rFonts w:ascii="Arial" w:hAnsi="Arial" w:cs="Arial"/>
          <w:i/>
          <w:color w:val="000000"/>
          <w:sz w:val="22"/>
          <w:szCs w:val="22"/>
          <w:shd w:val="clear" w:color="auto" w:fill="FFFFFF"/>
        </w:rPr>
        <w:t>o para tramitar su renovación, según sea del caso. Si vencido este plazo no se hubiere tramitado la licencia o adecuado las obras a la misma, se procederá a ordenar, a costa del interesado, la demolición de las obras ejecutadas según la licencia caducada o en contravención a la misma, y a la imposición de las multas sucesivas, en la cuantía que corresponda, teniendo en cuenta la gravedad de la conducta infractora, además de la ratificación de la suspensión de los servicios públicos domiciliarios.</w:t>
      </w:r>
    </w:p>
    <w:p w:rsidR="00603022" w:rsidRDefault="00603022" w:rsidP="00603022">
      <w:pPr>
        <w:pStyle w:val="NormalWeb"/>
        <w:spacing w:before="0" w:beforeAutospacing="0" w:after="0" w:afterAutospacing="0"/>
        <w:jc w:val="both"/>
        <w:rPr>
          <w:rFonts w:ascii="Arial" w:hAnsi="Arial" w:cs="Arial"/>
          <w:b/>
          <w:bCs/>
          <w:color w:val="000000"/>
          <w:sz w:val="22"/>
          <w:szCs w:val="22"/>
          <w:shd w:val="clear" w:color="auto" w:fill="FFFFFF"/>
        </w:rPr>
      </w:pPr>
    </w:p>
    <w:p w:rsidR="00603022" w:rsidRPr="00C25515" w:rsidRDefault="00603022" w:rsidP="00603022">
      <w:pPr>
        <w:pStyle w:val="NormalWeb"/>
        <w:spacing w:before="0" w:beforeAutospacing="0" w:after="0" w:afterAutospacing="0"/>
        <w:jc w:val="both"/>
        <w:rPr>
          <w:rFonts w:ascii="Arial" w:hAnsi="Arial" w:cs="Arial"/>
          <w:color w:val="00AFF0"/>
          <w:sz w:val="22"/>
          <w:szCs w:val="22"/>
          <w:shd w:val="clear" w:color="auto" w:fill="FFFFFF"/>
        </w:rPr>
      </w:pPr>
      <w:r w:rsidRPr="00F37E83">
        <w:rPr>
          <w:rFonts w:ascii="Arial" w:hAnsi="Arial" w:cs="Arial"/>
          <w:b/>
          <w:bCs/>
          <w:color w:val="000000"/>
          <w:sz w:val="22"/>
          <w:szCs w:val="22"/>
          <w:shd w:val="clear" w:color="auto" w:fill="FFFFFF"/>
        </w:rPr>
        <w:t xml:space="preserve">Artículo 4. </w:t>
      </w:r>
      <w:r w:rsidRPr="00C25515">
        <w:rPr>
          <w:rFonts w:ascii="Arial" w:hAnsi="Arial" w:cs="Arial"/>
          <w:color w:val="00AFF0"/>
          <w:sz w:val="22"/>
          <w:szCs w:val="22"/>
          <w:shd w:val="clear" w:color="auto" w:fill="FFFFFF"/>
        </w:rPr>
        <w:t>El artículo </w:t>
      </w:r>
      <w:hyperlink r:id="rId11" w:anchor="107" w:history="1">
        <w:r w:rsidRPr="00C25515">
          <w:rPr>
            <w:rStyle w:val="Hipervnculo"/>
            <w:rFonts w:ascii="Arial" w:hAnsi="Arial" w:cs="Arial"/>
            <w:color w:val="00AFF0"/>
            <w:sz w:val="22"/>
            <w:szCs w:val="22"/>
            <w:u w:val="none"/>
            <w:shd w:val="clear" w:color="auto" w:fill="FFFFFF"/>
          </w:rPr>
          <w:t>107</w:t>
        </w:r>
      </w:hyperlink>
      <w:r w:rsidRPr="00C25515">
        <w:rPr>
          <w:rStyle w:val="apple-converted-space"/>
          <w:rFonts w:ascii="Arial" w:hAnsi="Arial" w:cs="Arial"/>
          <w:color w:val="00AFF0"/>
          <w:sz w:val="22"/>
          <w:szCs w:val="22"/>
          <w:shd w:val="clear" w:color="auto" w:fill="FFFFFF"/>
        </w:rPr>
        <w:t> </w:t>
      </w:r>
      <w:r w:rsidRPr="00C25515">
        <w:rPr>
          <w:rFonts w:ascii="Arial" w:hAnsi="Arial" w:cs="Arial"/>
          <w:color w:val="00AFF0"/>
          <w:sz w:val="22"/>
          <w:szCs w:val="22"/>
          <w:shd w:val="clear" w:color="auto" w:fill="FFFFFF"/>
        </w:rPr>
        <w:t>de la Ley 388, quedará así:</w:t>
      </w:r>
    </w:p>
    <w:p w:rsidR="00603022" w:rsidRPr="00BB77FE" w:rsidRDefault="00603022" w:rsidP="00603022">
      <w:pPr>
        <w:pStyle w:val="NormalWeb"/>
        <w:spacing w:before="0" w:beforeAutospacing="0" w:after="0" w:afterAutospacing="0"/>
        <w:ind w:left="708"/>
        <w:jc w:val="both"/>
        <w:rPr>
          <w:rFonts w:ascii="Arial" w:hAnsi="Arial" w:cs="Arial"/>
          <w:i/>
          <w:sz w:val="22"/>
          <w:szCs w:val="22"/>
          <w:shd w:val="clear" w:color="auto" w:fill="FFFFFF"/>
        </w:rPr>
      </w:pPr>
      <w:r w:rsidRPr="00C25515">
        <w:rPr>
          <w:rStyle w:val="Textoennegrita"/>
          <w:rFonts w:ascii="Arial" w:hAnsi="Arial" w:cs="Arial"/>
          <w:i/>
          <w:color w:val="00AFF0"/>
          <w:sz w:val="22"/>
          <w:szCs w:val="22"/>
          <w:shd w:val="clear" w:color="auto" w:fill="FFFFFF"/>
        </w:rPr>
        <w:t>Artículo 107.</w:t>
      </w:r>
      <w:r w:rsidRPr="00C25515">
        <w:rPr>
          <w:rStyle w:val="apple-converted-space"/>
          <w:rFonts w:ascii="Arial" w:hAnsi="Arial" w:cs="Arial"/>
          <w:b/>
          <w:bCs/>
          <w:i/>
          <w:color w:val="00AFF0"/>
          <w:sz w:val="22"/>
          <w:szCs w:val="22"/>
          <w:shd w:val="clear" w:color="auto" w:fill="FFFFFF"/>
        </w:rPr>
        <w:t> </w:t>
      </w:r>
      <w:r w:rsidRPr="00C25515">
        <w:rPr>
          <w:rStyle w:val="Textoennegrita"/>
          <w:rFonts w:ascii="Arial" w:hAnsi="Arial" w:cs="Arial"/>
          <w:i/>
          <w:iCs/>
          <w:color w:val="00AFF0"/>
          <w:sz w:val="22"/>
          <w:szCs w:val="22"/>
          <w:shd w:val="clear" w:color="auto" w:fill="FFFFFF"/>
        </w:rPr>
        <w:t>Restitución de elementos del espacio público.</w:t>
      </w:r>
      <w:r w:rsidRPr="00F37E83">
        <w:rPr>
          <w:rStyle w:val="apple-converted-space"/>
          <w:rFonts w:ascii="Arial" w:hAnsi="Arial" w:cs="Arial"/>
          <w:i/>
          <w:iCs/>
          <w:color w:val="000000"/>
          <w:sz w:val="22"/>
          <w:szCs w:val="22"/>
          <w:shd w:val="clear" w:color="auto" w:fill="FFFFFF"/>
        </w:rPr>
        <w:t> </w:t>
      </w:r>
      <w:r w:rsidRPr="00BB77FE">
        <w:rPr>
          <w:rFonts w:ascii="Arial" w:hAnsi="Arial" w:cs="Arial"/>
          <w:i/>
          <w:sz w:val="22"/>
          <w:szCs w:val="22"/>
          <w:shd w:val="clear" w:color="auto" w:fill="FFFFFF"/>
        </w:rPr>
        <w:t>Los elementos constitutivos del espacio público que fuesen destruidos o alterados, deberán restituirse en un término en dos meses contados a partir de la providencia que impongan la sanción.</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color w:val="000000"/>
          <w:sz w:val="22"/>
          <w:szCs w:val="22"/>
          <w:shd w:val="clear" w:color="auto" w:fill="FFFFFF"/>
        </w:rPr>
      </w:pPr>
      <w:r w:rsidRPr="00F37E83">
        <w:rPr>
          <w:rFonts w:ascii="Arial" w:hAnsi="Arial" w:cs="Arial"/>
          <w:i/>
          <w:color w:val="000000"/>
          <w:sz w:val="22"/>
          <w:szCs w:val="22"/>
          <w:shd w:val="clear" w:color="auto" w:fill="FFFFFF"/>
        </w:rPr>
        <w:t>El incumplimiento de esta obligación dará lugar a la imposición de multas sucesivas por cada mes de retardado, en las cuantías señaladas en el numeral 2 del artículo 104 de la presente ley y la suspensión de los servicios públicos domiciliarios, de conformidad con lo señalado en la Ley 142 de 1994.</w:t>
      </w:r>
    </w:p>
    <w:p w:rsidR="00603022" w:rsidRDefault="00603022" w:rsidP="00603022">
      <w:pPr>
        <w:pStyle w:val="NormalWeb"/>
        <w:spacing w:before="0" w:beforeAutospacing="0" w:after="0" w:afterAutospacing="0"/>
        <w:jc w:val="both"/>
        <w:rPr>
          <w:rStyle w:val="Textoennegrita"/>
          <w:rFonts w:ascii="Arial" w:hAnsi="Arial" w:cs="Arial"/>
          <w:color w:val="000000"/>
          <w:sz w:val="22"/>
          <w:szCs w:val="22"/>
          <w:shd w:val="clear" w:color="auto" w:fill="FFFFFF"/>
        </w:rPr>
      </w:pPr>
    </w:p>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r w:rsidRPr="00F37E83">
        <w:rPr>
          <w:rStyle w:val="Textoennegrita"/>
          <w:rFonts w:ascii="Arial" w:hAnsi="Arial" w:cs="Arial"/>
          <w:color w:val="000000"/>
          <w:sz w:val="22"/>
          <w:szCs w:val="22"/>
          <w:shd w:val="clear" w:color="auto" w:fill="FFFFFF"/>
        </w:rPr>
        <w:t xml:space="preserve">Artículo 5. </w:t>
      </w:r>
      <w:r w:rsidRPr="00F37E83">
        <w:rPr>
          <w:rStyle w:val="Textoennegrita"/>
          <w:rFonts w:ascii="Arial" w:hAnsi="Arial" w:cs="Arial"/>
          <w:i/>
          <w:iCs/>
          <w:color w:val="000000"/>
          <w:sz w:val="22"/>
          <w:szCs w:val="22"/>
          <w:shd w:val="clear" w:color="auto" w:fill="FFFFFF"/>
        </w:rPr>
        <w:t>Principio de favorabilidad</w:t>
      </w:r>
      <w:r w:rsidRPr="00F37E83">
        <w:rPr>
          <w:rFonts w:ascii="Arial" w:hAnsi="Arial" w:cs="Arial"/>
          <w:i/>
          <w:iCs/>
          <w:color w:val="000000"/>
          <w:sz w:val="22"/>
          <w:szCs w:val="22"/>
          <w:shd w:val="clear" w:color="auto" w:fill="FFFFFF"/>
        </w:rPr>
        <w:t>.</w:t>
      </w:r>
      <w:r w:rsidRPr="00F37E83">
        <w:rPr>
          <w:rStyle w:val="apple-converted-space"/>
          <w:rFonts w:ascii="Arial" w:hAnsi="Arial" w:cs="Arial"/>
          <w:i/>
          <w:iCs/>
          <w:color w:val="000000"/>
          <w:sz w:val="22"/>
          <w:szCs w:val="22"/>
          <w:shd w:val="clear" w:color="auto" w:fill="FFFFFF"/>
        </w:rPr>
        <w:t> </w:t>
      </w:r>
      <w:r w:rsidRPr="00F37E83">
        <w:rPr>
          <w:rFonts w:ascii="Arial" w:hAnsi="Arial" w:cs="Arial"/>
          <w:color w:val="000000"/>
          <w:sz w:val="22"/>
          <w:szCs w:val="22"/>
          <w:shd w:val="clear" w:color="auto" w:fill="FFFFFF"/>
        </w:rPr>
        <w:t>A quien hubiere incurrido en infracciones urbanísticas durante la vigencia del artículo 104 de la Ley 388 de 1997 que no hayan originado actos administrativos sancionatorios que se encuentre en firme a la fecha de expedición de la presente ley, podrá acogerse a las sanciones administrativas previstas en el artículo 1° de la presente ley, en cuanto sean más favorables para el infractor. Así mismo, de oficio, los funcionarios competentes aplicarán esta favorabilidad administrativa.</w:t>
      </w:r>
    </w:p>
    <w:p w:rsidR="00603022" w:rsidRPr="00F37E83" w:rsidRDefault="00603022" w:rsidP="00603022">
      <w:pPr>
        <w:pStyle w:val="NormalWeb"/>
        <w:spacing w:before="0" w:beforeAutospacing="0" w:after="0" w:afterAutospacing="0"/>
        <w:jc w:val="both"/>
        <w:rPr>
          <w:rStyle w:val="Textoennegrita"/>
          <w:rFonts w:ascii="Arial" w:hAnsi="Arial" w:cs="Arial"/>
          <w:color w:val="000000"/>
          <w:sz w:val="22"/>
          <w:szCs w:val="22"/>
          <w:shd w:val="clear" w:color="auto" w:fill="FFFFFF"/>
        </w:rPr>
      </w:pPr>
    </w:p>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r w:rsidRPr="00F37E83">
        <w:rPr>
          <w:rStyle w:val="Textoennegrita"/>
          <w:rFonts w:ascii="Arial" w:hAnsi="Arial" w:cs="Arial"/>
          <w:color w:val="000000"/>
          <w:sz w:val="22"/>
          <w:szCs w:val="22"/>
          <w:shd w:val="clear" w:color="auto" w:fill="FFFFFF"/>
        </w:rPr>
        <w:t xml:space="preserve">Artículo 6. </w:t>
      </w:r>
      <w:r w:rsidRPr="00F37E83">
        <w:rPr>
          <w:rStyle w:val="Textoennegrita"/>
          <w:rFonts w:ascii="Arial" w:hAnsi="Arial" w:cs="Arial"/>
          <w:i/>
          <w:iCs/>
          <w:color w:val="000000"/>
          <w:sz w:val="22"/>
          <w:szCs w:val="22"/>
          <w:shd w:val="clear" w:color="auto" w:fill="FFFFFF"/>
        </w:rPr>
        <w:t>Procesos de legalización y regularización urbanística.</w:t>
      </w:r>
      <w:r w:rsidRPr="00F37E83">
        <w:rPr>
          <w:rStyle w:val="apple-converted-space"/>
          <w:rFonts w:ascii="Arial" w:hAnsi="Arial" w:cs="Arial"/>
          <w:i/>
          <w:iCs/>
          <w:color w:val="000000"/>
          <w:sz w:val="22"/>
          <w:szCs w:val="22"/>
          <w:shd w:val="clear" w:color="auto" w:fill="FFFFFF"/>
        </w:rPr>
        <w:t> </w:t>
      </w:r>
      <w:r w:rsidRPr="00F37E83">
        <w:rPr>
          <w:rFonts w:ascii="Arial" w:hAnsi="Arial" w:cs="Arial"/>
          <w:color w:val="000000"/>
          <w:sz w:val="22"/>
          <w:szCs w:val="22"/>
          <w:shd w:val="clear" w:color="auto" w:fill="FFFFFF"/>
        </w:rPr>
        <w:t>Las multas y sanciones urbanísticas a las que se refiere el artículo 2 de la presente ley no serán aplicables tratándose de poseedores de viviendas en programas de legalización y regularización urbanística de asentamientos de vivienda de interés social existentes a la entrada en vigencia de la presente ley que adelanten las administraciones municipales o distritales competentes, siempre que dichas actuaciones administrativas se ajusten a lo dispuesto en el Plan de Ordenamiento Territorial o los instrumentos que lo desarrollen.</w:t>
      </w:r>
    </w:p>
    <w:p w:rsidR="00603022" w:rsidRDefault="00603022" w:rsidP="00603022">
      <w:pPr>
        <w:pStyle w:val="NormalWeb"/>
        <w:spacing w:before="0" w:beforeAutospacing="0" w:after="0" w:afterAutospacing="0"/>
        <w:jc w:val="both"/>
        <w:rPr>
          <w:rStyle w:val="Textoennegrita"/>
          <w:rFonts w:ascii="Arial" w:hAnsi="Arial" w:cs="Arial"/>
          <w:color w:val="000000"/>
          <w:sz w:val="22"/>
          <w:szCs w:val="22"/>
          <w:shd w:val="clear" w:color="auto" w:fill="FFFFFF"/>
        </w:rPr>
      </w:pPr>
    </w:p>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r w:rsidRPr="00F37E83">
        <w:rPr>
          <w:rStyle w:val="Textoennegrita"/>
          <w:rFonts w:ascii="Arial" w:hAnsi="Arial" w:cs="Arial"/>
          <w:color w:val="000000"/>
          <w:sz w:val="22"/>
          <w:szCs w:val="22"/>
          <w:shd w:val="clear" w:color="auto" w:fill="FFFFFF"/>
        </w:rPr>
        <w:t xml:space="preserve">Artículo 7. </w:t>
      </w:r>
      <w:r w:rsidRPr="00F37E83">
        <w:rPr>
          <w:rStyle w:val="Textoennegrita"/>
          <w:rFonts w:ascii="Arial" w:hAnsi="Arial" w:cs="Arial"/>
          <w:i/>
          <w:iCs/>
          <w:color w:val="000000"/>
          <w:sz w:val="22"/>
          <w:szCs w:val="22"/>
          <w:shd w:val="clear" w:color="auto" w:fill="FFFFFF"/>
        </w:rPr>
        <w:t>Obligación de notarios y registradores.</w:t>
      </w:r>
      <w:r w:rsidRPr="00F37E83">
        <w:rPr>
          <w:rStyle w:val="apple-converted-space"/>
          <w:rFonts w:ascii="Arial" w:hAnsi="Arial" w:cs="Arial"/>
          <w:i/>
          <w:iCs/>
          <w:color w:val="000000"/>
          <w:sz w:val="22"/>
          <w:szCs w:val="22"/>
          <w:shd w:val="clear" w:color="auto" w:fill="FFFFFF"/>
        </w:rPr>
        <w:t> </w:t>
      </w:r>
      <w:r w:rsidRPr="00F37E83">
        <w:rPr>
          <w:rFonts w:ascii="Arial" w:hAnsi="Arial" w:cs="Arial"/>
          <w:color w:val="000000"/>
          <w:sz w:val="22"/>
          <w:szCs w:val="22"/>
          <w:shd w:val="clear" w:color="auto" w:fill="FFFFFF"/>
        </w:rPr>
        <w:t>Los notarios y registradores de instrumentos públicos no procederán a autorizar ni a inscribir respectivamente, ninguna escritura de división de terrenos o parcelación de lotes, sin que se acredite previamente el otorgamiento de la respectiva licencia urbanística, que deberá protocolizarse con la escritura pública correspondiente, salvo los casos de cumplimiento de una sentencia judicial. También se abstendrán de autorizar o inscribir, respectivamente cualquier escritura de aclaración de linderos sobre cualquier inmueble que linde con zonas de bajamar, parques naturales o cualquier bien de uso público sin contar con la autorización expresa de la autoridad competente.</w:t>
      </w:r>
    </w:p>
    <w:p w:rsidR="00603022" w:rsidRDefault="00603022" w:rsidP="00603022">
      <w:pPr>
        <w:pStyle w:val="NormalWeb"/>
        <w:spacing w:before="0" w:beforeAutospacing="0" w:after="0" w:afterAutospacing="0"/>
        <w:jc w:val="both"/>
        <w:rPr>
          <w:rFonts w:ascii="Agency FB" w:eastAsiaTheme="minorEastAsia" w:hAnsi="Agency FB" w:cs="Aparajita"/>
          <w:b/>
          <w:sz w:val="22"/>
          <w:szCs w:val="22"/>
        </w:rPr>
      </w:pPr>
    </w:p>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r w:rsidRPr="00F37E83">
        <w:rPr>
          <w:rFonts w:ascii="Arial" w:hAnsi="Arial" w:cs="Arial"/>
          <w:color w:val="000000"/>
          <w:sz w:val="22"/>
          <w:szCs w:val="22"/>
          <w:shd w:val="clear" w:color="auto" w:fill="FFFFFF"/>
        </w:rPr>
        <w:t xml:space="preserve">Cuando se trate de escrituras de loteo o </w:t>
      </w:r>
      <w:proofErr w:type="spellStart"/>
      <w:r w:rsidRPr="00F37E83">
        <w:rPr>
          <w:rFonts w:ascii="Arial" w:hAnsi="Arial" w:cs="Arial"/>
          <w:color w:val="000000"/>
          <w:sz w:val="22"/>
          <w:szCs w:val="22"/>
          <w:shd w:val="clear" w:color="auto" w:fill="FFFFFF"/>
        </w:rPr>
        <w:t>reloteo</w:t>
      </w:r>
      <w:proofErr w:type="spellEnd"/>
      <w:r w:rsidRPr="00F37E83">
        <w:rPr>
          <w:rFonts w:ascii="Arial" w:hAnsi="Arial" w:cs="Arial"/>
          <w:color w:val="000000"/>
          <w:sz w:val="22"/>
          <w:szCs w:val="22"/>
          <w:shd w:val="clear" w:color="auto" w:fill="FFFFFF"/>
        </w:rPr>
        <w:t xml:space="preserve"> de inmuebles sujetos al régimen de planificación y gestión asociada de que tratan los artículos 39, 40, 41, 42, 43, 44, 45, 46 y 47 de la Ley 388 de 1997, los Notarios y Registradores de Instrumentos Públicos deberán trasladar los gravámenes existentes sobre los inmuebles iniciales a las escrituras y matrículas inmobiliarias correspondientes a los inmuebles resultantes del proyecto de reajuste de tierras, integración inmobiliaria o cooperación entre partícipes, de acuerdo con el procedimiento especial de </w:t>
      </w:r>
      <w:proofErr w:type="spellStart"/>
      <w:r w:rsidRPr="00F37E83">
        <w:rPr>
          <w:rFonts w:ascii="Arial" w:hAnsi="Arial" w:cs="Arial"/>
          <w:color w:val="000000"/>
          <w:sz w:val="22"/>
          <w:szCs w:val="22"/>
          <w:shd w:val="clear" w:color="auto" w:fill="FFFFFF"/>
        </w:rPr>
        <w:t>reloteo</w:t>
      </w:r>
      <w:proofErr w:type="spellEnd"/>
      <w:r w:rsidRPr="00F37E83">
        <w:rPr>
          <w:rFonts w:ascii="Arial" w:hAnsi="Arial" w:cs="Arial"/>
          <w:color w:val="000000"/>
          <w:sz w:val="22"/>
          <w:szCs w:val="22"/>
          <w:shd w:val="clear" w:color="auto" w:fill="FFFFFF"/>
        </w:rPr>
        <w:t xml:space="preserve"> y transferencia de derechos que para el efecto defina el Gobierno Nacional. Igual procedimiento se aplicará para los inmuebles resultantes en proyectos de renovación urbana que se desarrollen en procesos de reconstrucción por desastre natural.</w:t>
      </w:r>
    </w:p>
    <w:p w:rsidR="00603022" w:rsidRPr="00F37E83" w:rsidRDefault="00603022" w:rsidP="00603022">
      <w:pPr>
        <w:pStyle w:val="NormalWeb"/>
        <w:spacing w:before="0" w:beforeAutospacing="0" w:after="0" w:afterAutospacing="0"/>
        <w:jc w:val="both"/>
        <w:rPr>
          <w:rFonts w:ascii="Arial" w:hAnsi="Arial" w:cs="Arial"/>
          <w:b/>
          <w:bCs/>
          <w:color w:val="000000"/>
          <w:sz w:val="22"/>
          <w:szCs w:val="22"/>
          <w:shd w:val="clear" w:color="auto" w:fill="FFFFFF"/>
        </w:rPr>
      </w:pPr>
    </w:p>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r w:rsidRPr="00F37E83">
        <w:rPr>
          <w:rFonts w:ascii="Arial" w:hAnsi="Arial" w:cs="Arial"/>
          <w:b/>
          <w:bCs/>
          <w:color w:val="000000"/>
          <w:sz w:val="22"/>
          <w:szCs w:val="22"/>
          <w:shd w:val="clear" w:color="auto" w:fill="FFFFFF"/>
        </w:rPr>
        <w:t>Parágrafo.</w:t>
      </w:r>
      <w:r w:rsidRPr="00F37E83">
        <w:rPr>
          <w:rStyle w:val="apple-converted-space"/>
          <w:rFonts w:ascii="Arial" w:hAnsi="Arial" w:cs="Arial"/>
          <w:b/>
          <w:bCs/>
          <w:color w:val="000000"/>
          <w:sz w:val="22"/>
          <w:szCs w:val="22"/>
          <w:shd w:val="clear" w:color="auto" w:fill="FFFFFF"/>
        </w:rPr>
        <w:t> </w:t>
      </w:r>
      <w:r w:rsidRPr="00F37E83">
        <w:rPr>
          <w:rFonts w:ascii="Arial" w:hAnsi="Arial" w:cs="Arial"/>
          <w:color w:val="000000"/>
          <w:sz w:val="22"/>
          <w:szCs w:val="22"/>
          <w:shd w:val="clear" w:color="auto" w:fill="FFFFFF"/>
        </w:rPr>
        <w:t>El Gobierno Nacional reglamentará las condiciones, requisitos y características de esta modalidad especial de licencia urbanística. Igualmente reglamentará el monto de las expensas aplicables a este tipo de actuación, en los municipios y distritos donde hubiere la figura del curador urbano.</w:t>
      </w:r>
    </w:p>
    <w:p w:rsidR="00603022" w:rsidRPr="00F37E83" w:rsidRDefault="00603022" w:rsidP="00603022">
      <w:pPr>
        <w:pStyle w:val="NormalWeb"/>
        <w:spacing w:before="0" w:beforeAutospacing="0" w:after="0" w:afterAutospacing="0"/>
        <w:jc w:val="both"/>
        <w:rPr>
          <w:rStyle w:val="Textoennegrita"/>
          <w:rFonts w:ascii="Arial" w:hAnsi="Arial" w:cs="Arial"/>
          <w:color w:val="000000"/>
          <w:sz w:val="22"/>
          <w:szCs w:val="22"/>
          <w:shd w:val="clear" w:color="auto" w:fill="FFFFFF"/>
        </w:rPr>
      </w:pPr>
    </w:p>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r w:rsidRPr="00F37E83">
        <w:rPr>
          <w:rStyle w:val="Textoennegrita"/>
          <w:rFonts w:ascii="Arial" w:hAnsi="Arial" w:cs="Arial"/>
          <w:color w:val="000000"/>
          <w:sz w:val="22"/>
          <w:szCs w:val="22"/>
          <w:shd w:val="clear" w:color="auto" w:fill="FFFFFF"/>
        </w:rPr>
        <w:t xml:space="preserve">Artículo 8. </w:t>
      </w:r>
      <w:r w:rsidRPr="00F37E83">
        <w:rPr>
          <w:rStyle w:val="Textoennegrita"/>
          <w:rFonts w:ascii="Arial" w:hAnsi="Arial" w:cs="Arial"/>
          <w:i/>
          <w:iCs/>
          <w:color w:val="000000"/>
          <w:sz w:val="22"/>
          <w:szCs w:val="22"/>
          <w:shd w:val="clear" w:color="auto" w:fill="FFFFFF"/>
        </w:rPr>
        <w:t>Licencias para cerramientos de obra y reparaciones locativas.</w:t>
      </w:r>
      <w:r w:rsidRPr="00F37E83">
        <w:rPr>
          <w:rStyle w:val="apple-converted-space"/>
          <w:rFonts w:ascii="Arial" w:hAnsi="Arial" w:cs="Arial"/>
          <w:i/>
          <w:iCs/>
          <w:color w:val="000000"/>
          <w:sz w:val="22"/>
          <w:szCs w:val="22"/>
          <w:shd w:val="clear" w:color="auto" w:fill="FFFFFF"/>
        </w:rPr>
        <w:t> </w:t>
      </w:r>
      <w:r w:rsidRPr="00F37E83">
        <w:rPr>
          <w:rFonts w:ascii="Arial" w:hAnsi="Arial" w:cs="Arial"/>
          <w:color w:val="000000"/>
          <w:sz w:val="22"/>
          <w:szCs w:val="22"/>
          <w:shd w:val="clear" w:color="auto" w:fill="FFFFFF"/>
        </w:rPr>
        <w:t>Las reparaciones o mejoras locativas, consideradas como aquellas obras que tienen como finalidad mantener el inmueble en las debidas condiciones de higiene y ornato, sin afectar su estructura portante, su distribución interior, sus características funcionales y formales, y/o volumetría no requieren licencia de construcción.</w:t>
      </w:r>
    </w:p>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603022" w:rsidRPr="00F37E83" w:rsidTr="004978AF">
        <w:tc>
          <w:tcPr>
            <w:tcW w:w="5000" w:type="pct"/>
            <w:shd w:val="clear" w:color="auto" w:fill="E4F9B1"/>
          </w:tcPr>
          <w:p w:rsidR="00603022" w:rsidRPr="00F37E83" w:rsidRDefault="00603022" w:rsidP="004978AF">
            <w:pPr>
              <w:jc w:val="both"/>
              <w:rPr>
                <w:rFonts w:ascii="Agency FB" w:hAnsi="Agency FB" w:cs="Aparajita"/>
                <w:b/>
              </w:rPr>
            </w:pPr>
            <w:r w:rsidRPr="00F37E83">
              <w:rPr>
                <w:rFonts w:ascii="Agency FB" w:hAnsi="Agency FB" w:cs="Aparajita"/>
                <w:b/>
              </w:rPr>
              <w:t>Concordancia. El Decreto 1469 de 2010 señala:</w:t>
            </w:r>
          </w:p>
          <w:p w:rsidR="00603022" w:rsidRPr="00F37E83" w:rsidRDefault="00603022" w:rsidP="004978AF">
            <w:pPr>
              <w:jc w:val="both"/>
              <w:rPr>
                <w:rFonts w:ascii="Aparajita" w:hAnsi="Aparajita" w:cs="Aparajita"/>
              </w:rPr>
            </w:pPr>
            <w:r w:rsidRPr="00F37E83">
              <w:rPr>
                <w:rFonts w:ascii="Aparajita" w:hAnsi="Aparajita" w:cs="Aparajita"/>
              </w:rPr>
              <w:t>Artículo 10. Reparaciones locativas. Se entiende por reparaciones o mejoras locativas aquellas obras que tienen como finalidad mantener el inmueble en las debidas condiciones de higiene y ornato sin afectar su estructura portante, su distribución interior, sus características funcionales, formales y/o volumétricas. No requerirán licencia de construcción las reparaciones o mejoras locativas a que hace referencia el artículo 8° de la Ley 810 de 2003 o la norma que lo adicione, modifique o sustituya.</w:t>
            </w:r>
          </w:p>
          <w:p w:rsidR="00603022" w:rsidRPr="00F37E83" w:rsidRDefault="00603022" w:rsidP="004978AF">
            <w:pPr>
              <w:jc w:val="both"/>
              <w:rPr>
                <w:rFonts w:ascii="Aparajita" w:hAnsi="Aparajita" w:cs="Aparajita"/>
              </w:rPr>
            </w:pPr>
            <w:r w:rsidRPr="00F37E83">
              <w:rPr>
                <w:rFonts w:ascii="Aparajita" w:hAnsi="Aparajita" w:cs="Aparajita"/>
              </w:rPr>
              <w:t>Están incluidas dentro de las reparaciones locativas, entre otras, las siguientes obras: el mantenimiento, la sustitución, restitución o mejoramiento de los materiales de pisos, cielorrasos, enchapes, pintura en general, y la sustitución, mejoramiento o ampliación de redes de instalaciones hidráulicas, sanitarias, eléctricas, telefónicas o de gas. Sin perjuicio de lo anterior, quien ejecuta la obra se hace responsable de:</w:t>
            </w:r>
          </w:p>
          <w:p w:rsidR="00603022" w:rsidRPr="00F37E83" w:rsidRDefault="00603022" w:rsidP="004978AF">
            <w:pPr>
              <w:jc w:val="both"/>
              <w:rPr>
                <w:rFonts w:ascii="Aparajita" w:hAnsi="Aparajita" w:cs="Aparajita"/>
              </w:rPr>
            </w:pPr>
            <w:r w:rsidRPr="00F37E83">
              <w:rPr>
                <w:rFonts w:ascii="Aparajita" w:hAnsi="Aparajita" w:cs="Aparajita"/>
              </w:rPr>
              <w:t>1. Cumplir con los reglamentos establecidos para la propiedad horizontal y las normas que regulan los servicios públicos domiciliarios.</w:t>
            </w:r>
          </w:p>
          <w:p w:rsidR="00603022" w:rsidRPr="00F37E83" w:rsidRDefault="00603022" w:rsidP="004978AF">
            <w:pPr>
              <w:jc w:val="both"/>
              <w:rPr>
                <w:rFonts w:ascii="Aparajita" w:hAnsi="Aparajita" w:cs="Aparajita"/>
              </w:rPr>
            </w:pPr>
            <w:r w:rsidRPr="00F37E83">
              <w:rPr>
                <w:rFonts w:ascii="Aparajita" w:hAnsi="Aparajita" w:cs="Aparajita"/>
              </w:rPr>
              <w:t>2. Prevenir daños que se puedan ocasionar a terceros y en caso de que se presenten, responder de conformidad con las normas civiles que regulan la materia.</w:t>
            </w:r>
          </w:p>
          <w:p w:rsidR="00603022" w:rsidRPr="00F37E83" w:rsidRDefault="00603022" w:rsidP="004978AF">
            <w:pPr>
              <w:jc w:val="both"/>
              <w:rPr>
                <w:rFonts w:ascii="Aparajita" w:hAnsi="Aparajita" w:cs="Aparajita"/>
              </w:rPr>
            </w:pPr>
            <w:r w:rsidRPr="00F37E83">
              <w:rPr>
                <w:rFonts w:ascii="Aparajita" w:hAnsi="Aparajita" w:cs="Aparajita"/>
              </w:rPr>
              <w:t>3. Cumplir con los procedimientos previos, requisitos y normas aplicables a los inmuebles de conservación histórica, arquitectónica o bienes de interés cultural.</w:t>
            </w:r>
          </w:p>
        </w:tc>
      </w:tr>
    </w:tbl>
    <w:p w:rsidR="00603022" w:rsidRPr="00F37E83" w:rsidRDefault="00603022" w:rsidP="00603022">
      <w:pPr>
        <w:pStyle w:val="NormalWeb"/>
        <w:spacing w:before="0" w:beforeAutospacing="0" w:after="0" w:afterAutospacing="0"/>
        <w:jc w:val="both"/>
        <w:rPr>
          <w:rFonts w:ascii="Arial" w:hAnsi="Arial" w:cs="Arial"/>
          <w:b/>
          <w:bCs/>
          <w:color w:val="000000"/>
          <w:sz w:val="22"/>
          <w:szCs w:val="22"/>
          <w:shd w:val="clear" w:color="auto" w:fill="FFFFFF"/>
        </w:rPr>
      </w:pPr>
    </w:p>
    <w:p w:rsidR="00603022" w:rsidRPr="00C25515" w:rsidRDefault="00603022" w:rsidP="00603022">
      <w:pPr>
        <w:pStyle w:val="NormalWeb"/>
        <w:spacing w:before="0" w:beforeAutospacing="0" w:after="0" w:afterAutospacing="0"/>
        <w:jc w:val="both"/>
        <w:rPr>
          <w:rFonts w:ascii="Arial" w:hAnsi="Arial" w:cs="Arial"/>
          <w:b/>
          <w:color w:val="00AFF0"/>
          <w:sz w:val="22"/>
          <w:szCs w:val="22"/>
          <w:shd w:val="clear" w:color="auto" w:fill="FFFFFF"/>
        </w:rPr>
      </w:pPr>
      <w:r w:rsidRPr="00F37E83">
        <w:rPr>
          <w:rFonts w:ascii="Arial" w:hAnsi="Arial" w:cs="Arial"/>
          <w:b/>
          <w:bCs/>
          <w:color w:val="000000"/>
          <w:sz w:val="22"/>
          <w:szCs w:val="22"/>
          <w:shd w:val="clear" w:color="auto" w:fill="FFFFFF"/>
        </w:rPr>
        <w:t xml:space="preserve">Artículo 9. </w:t>
      </w:r>
      <w:r w:rsidRPr="00C25515">
        <w:rPr>
          <w:rFonts w:ascii="Arial" w:hAnsi="Arial" w:cs="Arial"/>
          <w:b/>
          <w:color w:val="00AFF0"/>
          <w:sz w:val="22"/>
          <w:szCs w:val="22"/>
          <w:shd w:val="clear" w:color="auto" w:fill="FFFFFF"/>
        </w:rPr>
        <w:t>El artículo</w:t>
      </w:r>
      <w:r w:rsidRPr="00C25515">
        <w:rPr>
          <w:rStyle w:val="apple-converted-space"/>
          <w:rFonts w:ascii="Arial" w:hAnsi="Arial" w:cs="Arial"/>
          <w:b/>
          <w:color w:val="00AFF0"/>
          <w:sz w:val="22"/>
          <w:szCs w:val="22"/>
          <w:shd w:val="clear" w:color="auto" w:fill="FFFFFF"/>
        </w:rPr>
        <w:t> </w:t>
      </w:r>
      <w:hyperlink r:id="rId12" w:anchor="101" w:history="1">
        <w:r w:rsidRPr="00C25515">
          <w:rPr>
            <w:rStyle w:val="Hipervnculo"/>
            <w:rFonts w:ascii="Arial" w:hAnsi="Arial" w:cs="Arial"/>
            <w:b/>
            <w:color w:val="00AFF0"/>
            <w:sz w:val="22"/>
            <w:szCs w:val="22"/>
            <w:u w:val="none"/>
            <w:shd w:val="clear" w:color="auto" w:fill="FFFFFF"/>
          </w:rPr>
          <w:t>101</w:t>
        </w:r>
      </w:hyperlink>
      <w:r w:rsidRPr="00C25515">
        <w:rPr>
          <w:rStyle w:val="apple-converted-space"/>
          <w:rFonts w:ascii="Arial" w:hAnsi="Arial" w:cs="Arial"/>
          <w:b/>
          <w:color w:val="00AFF0"/>
          <w:sz w:val="22"/>
          <w:szCs w:val="22"/>
          <w:shd w:val="clear" w:color="auto" w:fill="FFFFFF"/>
        </w:rPr>
        <w:t> </w:t>
      </w:r>
      <w:r w:rsidRPr="00C25515">
        <w:rPr>
          <w:rFonts w:ascii="Arial" w:hAnsi="Arial" w:cs="Arial"/>
          <w:b/>
          <w:color w:val="00AFF0"/>
          <w:sz w:val="22"/>
          <w:szCs w:val="22"/>
          <w:shd w:val="clear" w:color="auto" w:fill="FFFFFF"/>
        </w:rPr>
        <w:t>de la Ley 388 de 1997 quedará así:</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C25515">
        <w:rPr>
          <w:rStyle w:val="Textoennegrita"/>
          <w:rFonts w:ascii="Arial" w:hAnsi="Arial" w:cs="Arial"/>
          <w:i/>
          <w:color w:val="00AFF0"/>
          <w:sz w:val="22"/>
          <w:szCs w:val="22"/>
          <w:shd w:val="clear" w:color="auto" w:fill="FFFFFF"/>
        </w:rPr>
        <w:t>Artículo 101.</w:t>
      </w:r>
      <w:r w:rsidRPr="00C25515">
        <w:rPr>
          <w:rStyle w:val="apple-converted-space"/>
          <w:rFonts w:ascii="Arial" w:hAnsi="Arial" w:cs="Arial"/>
          <w:b/>
          <w:bCs/>
          <w:i/>
          <w:color w:val="00AFF0"/>
          <w:sz w:val="22"/>
          <w:szCs w:val="22"/>
          <w:shd w:val="clear" w:color="auto" w:fill="FFFFFF"/>
        </w:rPr>
        <w:t> </w:t>
      </w:r>
      <w:r w:rsidRPr="00C25515">
        <w:rPr>
          <w:rStyle w:val="Textoennegrita"/>
          <w:rFonts w:ascii="Arial" w:hAnsi="Arial" w:cs="Arial"/>
          <w:i/>
          <w:iCs/>
          <w:color w:val="00AFF0"/>
          <w:sz w:val="22"/>
          <w:szCs w:val="22"/>
          <w:shd w:val="clear" w:color="auto" w:fill="FFFFFF"/>
        </w:rPr>
        <w:t>Curadores urbanos</w:t>
      </w:r>
      <w:r w:rsidRPr="00C25515">
        <w:rPr>
          <w:rFonts w:ascii="Arial" w:hAnsi="Arial" w:cs="Arial"/>
          <w:b/>
          <w:i/>
          <w:iCs/>
          <w:color w:val="00AFF0"/>
          <w:sz w:val="22"/>
          <w:szCs w:val="22"/>
          <w:shd w:val="clear" w:color="auto" w:fill="FFFFFF"/>
        </w:rPr>
        <w:t>.</w:t>
      </w:r>
      <w:r w:rsidRPr="00C25515">
        <w:rPr>
          <w:rStyle w:val="apple-converted-space"/>
          <w:rFonts w:ascii="Arial" w:hAnsi="Arial" w:cs="Arial"/>
          <w:i/>
          <w:iCs/>
          <w:color w:val="00AFF0"/>
          <w:sz w:val="22"/>
          <w:szCs w:val="22"/>
          <w:shd w:val="clear" w:color="auto" w:fill="FFFFFF"/>
        </w:rPr>
        <w:t> </w:t>
      </w:r>
      <w:r w:rsidRPr="00F37E83">
        <w:rPr>
          <w:rFonts w:ascii="Arial" w:hAnsi="Arial" w:cs="Arial"/>
          <w:i/>
          <w:color w:val="000000"/>
          <w:sz w:val="22"/>
          <w:szCs w:val="22"/>
          <w:shd w:val="clear" w:color="auto" w:fill="FFFFFF"/>
        </w:rPr>
        <w:t>El curador urbano es un particular encargado de estudiar, tramitar y expedir licencias de parcelación, urbanismo, construcción o demolición, y para el loteo o subdivisión de predios, a petición del interesado en adelantar proyectos de parcelación, urbanización, edificación, demolición o de loteo o subdivisión de predios, en las zonas o áreas del municipio o distrito que la administración municipal o distrital le haya determinado como de su jurisdicción.</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 xml:space="preserve">La curaduría urbana implica el ejercicio de </w:t>
      </w:r>
      <w:proofErr w:type="gramStart"/>
      <w:r w:rsidRPr="00F37E83">
        <w:rPr>
          <w:rFonts w:ascii="Arial" w:hAnsi="Arial" w:cs="Arial"/>
          <w:i/>
          <w:color w:val="000000"/>
          <w:sz w:val="22"/>
          <w:szCs w:val="22"/>
          <w:shd w:val="clear" w:color="auto" w:fill="FFFFFF"/>
        </w:rPr>
        <w:t>una función pública para la verificación del cumplimiento de las normas urbanísticas y de edificación vigentes</w:t>
      </w:r>
      <w:proofErr w:type="gramEnd"/>
      <w:r w:rsidRPr="00F37E83">
        <w:rPr>
          <w:rFonts w:ascii="Arial" w:hAnsi="Arial" w:cs="Arial"/>
          <w:i/>
          <w:color w:val="000000"/>
          <w:sz w:val="22"/>
          <w:szCs w:val="22"/>
          <w:shd w:val="clear" w:color="auto" w:fill="FFFFFF"/>
        </w:rPr>
        <w:t xml:space="preserve"> en el distrito o municipio, a través del otorgamiento de licencias de urbanización y de construcción.</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 xml:space="preserve">El curador urbano o la entidad competente encargada de ejercer la función pública de verificación del cumplimiento de las normas urbanísticas y de edificación vigentes en el distrito, municipios o en el departamento de San Andrés y Providencia y Santa Catalina, serán la entidad encargada de otorgar las licencias de construcción que afecten los bienes de uso bajo la jurisdicción de la Autoridad Marítima Nacional, de acuerdo con lo dispuesto en el Plan de Ordenamiento Territorial y previo el concepto técnico favorable de la Dirección General Marítima, </w:t>
      </w:r>
      <w:proofErr w:type="spellStart"/>
      <w:r w:rsidRPr="00F37E83">
        <w:rPr>
          <w:rFonts w:ascii="Arial" w:hAnsi="Arial" w:cs="Arial"/>
          <w:i/>
          <w:color w:val="000000"/>
          <w:sz w:val="22"/>
          <w:szCs w:val="22"/>
          <w:shd w:val="clear" w:color="auto" w:fill="FFFFFF"/>
        </w:rPr>
        <w:t>Dimar</w:t>
      </w:r>
      <w:proofErr w:type="spellEnd"/>
      <w:r w:rsidRPr="00F37E83">
        <w:rPr>
          <w:rFonts w:ascii="Arial" w:hAnsi="Arial" w:cs="Arial"/>
          <w:i/>
          <w:color w:val="000000"/>
          <w:sz w:val="22"/>
          <w:szCs w:val="22"/>
          <w:shd w:val="clear" w:color="auto" w:fill="FFFFFF"/>
        </w:rPr>
        <w:t xml:space="preserve">, del Ministerio de Defensa Nacional. La licencia de ocupación temporal del espacio público sobre los bienes de uso públicos bajo jurisdicción de la </w:t>
      </w:r>
      <w:proofErr w:type="spellStart"/>
      <w:r w:rsidRPr="00F37E83">
        <w:rPr>
          <w:rFonts w:ascii="Arial" w:hAnsi="Arial" w:cs="Arial"/>
          <w:i/>
          <w:color w:val="000000"/>
          <w:sz w:val="22"/>
          <w:szCs w:val="22"/>
          <w:shd w:val="clear" w:color="auto" w:fill="FFFFFF"/>
        </w:rPr>
        <w:t>Dimar</w:t>
      </w:r>
      <w:proofErr w:type="spellEnd"/>
      <w:r w:rsidRPr="00F37E83">
        <w:rPr>
          <w:rFonts w:ascii="Arial" w:hAnsi="Arial" w:cs="Arial"/>
          <w:i/>
          <w:color w:val="000000"/>
          <w:sz w:val="22"/>
          <w:szCs w:val="22"/>
          <w:shd w:val="clear" w:color="auto" w:fill="FFFFFF"/>
        </w:rPr>
        <w:t xml:space="preserve"> será otorgada por la autoridad municipal o distrital competente, así como por la autoridad designada para tal efecto por la Gobernación de San Andrés, Providencia y Santa Catalina.</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 xml:space="preserve">El Gobierno Nacional reglamentará la distribución del recaudo que realiza la </w:t>
      </w:r>
      <w:proofErr w:type="spellStart"/>
      <w:r w:rsidRPr="00F37E83">
        <w:rPr>
          <w:rFonts w:ascii="Arial" w:hAnsi="Arial" w:cs="Arial"/>
          <w:i/>
          <w:color w:val="000000"/>
          <w:sz w:val="22"/>
          <w:szCs w:val="22"/>
          <w:shd w:val="clear" w:color="auto" w:fill="FFFFFF"/>
        </w:rPr>
        <w:t>Dimar</w:t>
      </w:r>
      <w:proofErr w:type="spellEnd"/>
      <w:r w:rsidRPr="00F37E83">
        <w:rPr>
          <w:rFonts w:ascii="Arial" w:hAnsi="Arial" w:cs="Arial"/>
          <w:i/>
          <w:color w:val="000000"/>
          <w:sz w:val="22"/>
          <w:szCs w:val="22"/>
          <w:shd w:val="clear" w:color="auto" w:fill="FFFFFF"/>
        </w:rPr>
        <w:t xml:space="preserve"> por los derechos por concesiones o permisos de utilización de los bienes de uso público bajo su jurisdicción, entre la </w:t>
      </w:r>
      <w:proofErr w:type="spellStart"/>
      <w:r w:rsidRPr="00F37E83">
        <w:rPr>
          <w:rFonts w:ascii="Arial" w:hAnsi="Arial" w:cs="Arial"/>
          <w:i/>
          <w:color w:val="000000"/>
          <w:sz w:val="22"/>
          <w:szCs w:val="22"/>
          <w:shd w:val="clear" w:color="auto" w:fill="FFFFFF"/>
        </w:rPr>
        <w:t>Dimar</w:t>
      </w:r>
      <w:proofErr w:type="spellEnd"/>
      <w:r w:rsidRPr="00F37E83">
        <w:rPr>
          <w:rFonts w:ascii="Arial" w:hAnsi="Arial" w:cs="Arial"/>
          <w:i/>
          <w:color w:val="000000"/>
          <w:sz w:val="22"/>
          <w:szCs w:val="22"/>
          <w:shd w:val="clear" w:color="auto" w:fill="FFFFFF"/>
        </w:rPr>
        <w:t xml:space="preserve"> y el respectivo municipio, distrito o la Gobernación de San Andrés y Providencia, según el caso.</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El ejercicio de la curaduría urbana deberá sujetarse entre otras a las siguientes disposiciones:</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1. El alcalde municipal o distrital designará a los curadores urbanos, previo concurso de méritos, a quienes figuren en los primeros lugares de la lista de elegibles, en estricto orden de calificación.</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Para ser designado curador deben cumplirse los siguientes requisitos:</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a) Poseer título profesional de arquitecto, ingeniero civil o posgrado de urbanismo o planificación regional o urbana;</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b) Acreditar una experiencia laboral mínima de diez (10) años en el ejercicio de actividades relacionadas con el desarrollo o la planificación urbana.</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c) Acreditar la colaboración del grupo interdisciplinario especializado que apoyará la labor del curador urbano.</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2. Los municipios y distritos podrán establecer, previo concepto favorable del Ministerio de Desarrollo, el número de curadores en su jurisdicción, teniendo en cuenta la actividad edificadora, el volumen de las solicitudes de licencia urbanísticas, las necesidades del servicio y la sostenibilidad de las curadurías urbanas. En todo caso cuando el municipio o distrito opte por la figura del curador urbano, garantizará que este servicio sea prestado, al menos, por dos de ellos. El Gobierno Nacional reglamentará esta materia.</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3. El Gobierno Nacional reglamentará todo lo relacionado con las expensas a cargo de los particulares que realicen trámites ante las curadurías urbanas, al igual que lo relacionado con la remuneración de quienes ejercen esta función, teniéndose en cuenta, entre otros, la cuantía y naturaleza de las obras que requieren licencia y las actuaciones que sean necesarios para expedirlas.</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4. Los curadores urbanos serán designados para periodos individuales de cinco (5) años y podrán ser designados nuevamente para el desempeño de esta función pública, previa evaluación de su desempeño por parte de los alcaldes municipales o distritales, en todo de conformidad con la ley que reglamente las Curadurías y con los términos y procedimientos que para el efecto reglamente el Gobierno Nacional.</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5. A partir de la entrada en vigencia de esta ley, el Ministerio de Desarrollo Económico continuará cumpliendo con las funciones de coordinación y seguimiento de los curadores urbanos, con el objetivo de orientar y apoyar su adecuada implantación al interior de las administraciones locales.</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6. El alcalde municipal o distrital, o su delegado permanente, será la instancia encargado de vigilar y controlar el cumplimiento de las normas urbanísticas por parte de los curadores urbanos.</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7. Mientras se expide la ley de que habla en el numeral 4 de este artículo, a los curadores urbanos se les aplicarán, en lo pertinente, las normas establecidas en el Estatuto de Notariado y Registro para los casos de vacancia en el cargo, vacaciones y suspensiones temporales y licencias.</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8. Ley que reglamente las curadurías determinará ente otros aspectos, el régimen de inhabilidades e incompatibilidades aplicables a los curadores urbanos, además de los impedimentos para el ejercicio del cargo, que sean aplicables a los curadores y a los integrantes del grupo interdisciplinario de apoyo.</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i/>
          <w:color w:val="000000"/>
          <w:sz w:val="22"/>
          <w:szCs w:val="22"/>
          <w:shd w:val="clear" w:color="auto" w:fill="FFFFFF"/>
        </w:rPr>
        <w:t>9. Los curadores urbanos harán parte de los Consejos Consultivos de Ordenamiento en los Municipios y Distritos en donde existen.</w:t>
      </w:r>
    </w:p>
    <w:p w:rsidR="00603022" w:rsidRPr="00F37E83" w:rsidRDefault="00603022" w:rsidP="00603022">
      <w:pPr>
        <w:pStyle w:val="NormalWeb"/>
        <w:spacing w:before="0" w:beforeAutospacing="0" w:after="0" w:afterAutospacing="0"/>
        <w:ind w:left="708"/>
        <w:jc w:val="both"/>
        <w:rPr>
          <w:rFonts w:ascii="Arial" w:hAnsi="Arial" w:cs="Arial"/>
          <w:b/>
          <w:bCs/>
          <w:i/>
          <w:color w:val="000000"/>
          <w:sz w:val="22"/>
          <w:szCs w:val="22"/>
          <w:shd w:val="clear" w:color="auto" w:fill="FFFFFF"/>
        </w:rPr>
      </w:pP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F37E83">
        <w:rPr>
          <w:rFonts w:ascii="Arial" w:hAnsi="Arial" w:cs="Arial"/>
          <w:b/>
          <w:bCs/>
          <w:i/>
          <w:color w:val="000000"/>
          <w:sz w:val="22"/>
          <w:szCs w:val="22"/>
          <w:shd w:val="clear" w:color="auto" w:fill="FFFFFF"/>
        </w:rPr>
        <w:t>Parágrafo.</w:t>
      </w:r>
      <w:r w:rsidRPr="00F37E83">
        <w:rPr>
          <w:rStyle w:val="apple-converted-space"/>
          <w:rFonts w:ascii="Arial" w:hAnsi="Arial" w:cs="Arial"/>
          <w:b/>
          <w:bCs/>
          <w:i/>
          <w:color w:val="000000"/>
          <w:sz w:val="22"/>
          <w:szCs w:val="22"/>
          <w:shd w:val="clear" w:color="auto" w:fill="FFFFFF"/>
        </w:rPr>
        <w:t> </w:t>
      </w:r>
      <w:r w:rsidRPr="00F37E83">
        <w:rPr>
          <w:rFonts w:ascii="Arial" w:hAnsi="Arial" w:cs="Arial"/>
          <w:i/>
          <w:color w:val="000000"/>
          <w:sz w:val="22"/>
          <w:szCs w:val="22"/>
          <w:shd w:val="clear" w:color="auto" w:fill="FFFFFF"/>
        </w:rPr>
        <w:t xml:space="preserve">En todo caso las concesiones y permisos que otorgue la </w:t>
      </w:r>
      <w:proofErr w:type="spellStart"/>
      <w:r w:rsidRPr="00F37E83">
        <w:rPr>
          <w:rFonts w:ascii="Arial" w:hAnsi="Arial" w:cs="Arial"/>
          <w:i/>
          <w:color w:val="000000"/>
          <w:sz w:val="22"/>
          <w:szCs w:val="22"/>
          <w:shd w:val="clear" w:color="auto" w:fill="FFFFFF"/>
        </w:rPr>
        <w:t>Dimar</w:t>
      </w:r>
      <w:proofErr w:type="spellEnd"/>
      <w:r w:rsidRPr="00F37E83">
        <w:rPr>
          <w:rFonts w:ascii="Arial" w:hAnsi="Arial" w:cs="Arial"/>
          <w:i/>
          <w:color w:val="000000"/>
          <w:sz w:val="22"/>
          <w:szCs w:val="22"/>
          <w:shd w:val="clear" w:color="auto" w:fill="FFFFFF"/>
        </w:rPr>
        <w:t xml:space="preserve"> deberán otorgarse con sujeción a las normas que sobre usos del suelo haya definido el municipio o distrito en su Plan de Ordenamiento Territorial.</w:t>
      </w:r>
    </w:p>
    <w:p w:rsidR="00603022" w:rsidRPr="00F37E83" w:rsidRDefault="00603022" w:rsidP="00603022">
      <w:pPr>
        <w:pStyle w:val="NormalWeb"/>
        <w:spacing w:before="0" w:beforeAutospacing="0" w:after="0" w:afterAutospacing="0"/>
        <w:jc w:val="both"/>
        <w:rPr>
          <w:rFonts w:ascii="Arial" w:hAnsi="Arial" w:cs="Arial"/>
          <w:b/>
          <w:bCs/>
          <w:color w:val="000000"/>
          <w:sz w:val="22"/>
          <w:szCs w:val="22"/>
          <w:shd w:val="clear" w:color="auto" w:fill="FFFFFF"/>
        </w:rPr>
      </w:pPr>
    </w:p>
    <w:p w:rsidR="00603022" w:rsidRPr="00C25515" w:rsidRDefault="00603022" w:rsidP="00603022">
      <w:pPr>
        <w:pStyle w:val="NormalWeb"/>
        <w:spacing w:before="0" w:beforeAutospacing="0" w:after="0" w:afterAutospacing="0"/>
        <w:jc w:val="both"/>
        <w:rPr>
          <w:rFonts w:ascii="Arial" w:hAnsi="Arial" w:cs="Arial"/>
          <w:b/>
          <w:color w:val="00AFF0"/>
          <w:sz w:val="22"/>
          <w:szCs w:val="22"/>
          <w:shd w:val="clear" w:color="auto" w:fill="FFFFFF"/>
        </w:rPr>
      </w:pPr>
      <w:r w:rsidRPr="00F37E83">
        <w:rPr>
          <w:rFonts w:ascii="Arial" w:hAnsi="Arial" w:cs="Arial"/>
          <w:b/>
          <w:bCs/>
          <w:color w:val="000000"/>
          <w:sz w:val="22"/>
          <w:szCs w:val="22"/>
          <w:shd w:val="clear" w:color="auto" w:fill="FFFFFF"/>
        </w:rPr>
        <w:t>Artículo 10.</w:t>
      </w:r>
      <w:r w:rsidRPr="00F37E83">
        <w:rPr>
          <w:rStyle w:val="apple-converted-space"/>
          <w:rFonts w:ascii="Arial" w:hAnsi="Arial" w:cs="Arial"/>
          <w:b/>
          <w:bCs/>
          <w:color w:val="000000"/>
          <w:sz w:val="22"/>
          <w:szCs w:val="22"/>
          <w:shd w:val="clear" w:color="auto" w:fill="FFFFFF"/>
        </w:rPr>
        <w:t> </w:t>
      </w:r>
      <w:r w:rsidRPr="00C25515">
        <w:rPr>
          <w:rFonts w:ascii="Arial" w:hAnsi="Arial" w:cs="Arial"/>
          <w:b/>
          <w:color w:val="00AFF0"/>
          <w:sz w:val="22"/>
          <w:szCs w:val="22"/>
          <w:shd w:val="clear" w:color="auto" w:fill="FFFFFF"/>
        </w:rPr>
        <w:t>El artículo</w:t>
      </w:r>
      <w:r w:rsidRPr="00C25515">
        <w:rPr>
          <w:rStyle w:val="apple-converted-space"/>
          <w:rFonts w:ascii="Arial" w:hAnsi="Arial" w:cs="Arial"/>
          <w:b/>
          <w:color w:val="00AFF0"/>
          <w:sz w:val="22"/>
          <w:szCs w:val="22"/>
          <w:shd w:val="clear" w:color="auto" w:fill="FFFFFF"/>
        </w:rPr>
        <w:t> </w:t>
      </w:r>
      <w:hyperlink r:id="rId13" w:anchor="137" w:history="1">
        <w:r w:rsidRPr="00C25515">
          <w:rPr>
            <w:rStyle w:val="Hipervnculo"/>
            <w:rFonts w:ascii="Arial" w:hAnsi="Arial" w:cs="Arial"/>
            <w:b/>
            <w:color w:val="00AFF0"/>
            <w:sz w:val="22"/>
            <w:szCs w:val="22"/>
            <w:u w:val="none"/>
            <w:shd w:val="clear" w:color="auto" w:fill="FFFFFF"/>
          </w:rPr>
          <w:t>137</w:t>
        </w:r>
      </w:hyperlink>
      <w:r w:rsidRPr="00C25515">
        <w:rPr>
          <w:rStyle w:val="apple-converted-space"/>
          <w:rFonts w:ascii="Arial" w:hAnsi="Arial" w:cs="Arial"/>
          <w:b/>
          <w:color w:val="00AFF0"/>
          <w:sz w:val="22"/>
          <w:szCs w:val="22"/>
          <w:shd w:val="clear" w:color="auto" w:fill="FFFFFF"/>
        </w:rPr>
        <w:t> </w:t>
      </w:r>
      <w:r w:rsidRPr="00C25515">
        <w:rPr>
          <w:rFonts w:ascii="Arial" w:hAnsi="Arial" w:cs="Arial"/>
          <w:b/>
          <w:color w:val="00AFF0"/>
          <w:sz w:val="22"/>
          <w:szCs w:val="22"/>
          <w:shd w:val="clear" w:color="auto" w:fill="FFFFFF"/>
        </w:rPr>
        <w:t>de la Ley 388 de 1997 quedará así:</w:t>
      </w:r>
    </w:p>
    <w:p w:rsidR="00603022" w:rsidRPr="00F37E83" w:rsidRDefault="00603022" w:rsidP="00603022">
      <w:pPr>
        <w:pStyle w:val="NormalWeb"/>
        <w:spacing w:before="0" w:beforeAutospacing="0" w:after="0" w:afterAutospacing="0"/>
        <w:ind w:left="708"/>
        <w:jc w:val="both"/>
        <w:rPr>
          <w:rFonts w:ascii="Arial" w:hAnsi="Arial" w:cs="Arial"/>
          <w:i/>
          <w:color w:val="000000"/>
          <w:sz w:val="22"/>
          <w:szCs w:val="22"/>
          <w:shd w:val="clear" w:color="auto" w:fill="FFFFFF"/>
        </w:rPr>
      </w:pPr>
      <w:r w:rsidRPr="00C25515">
        <w:rPr>
          <w:rFonts w:ascii="Arial" w:hAnsi="Arial" w:cs="Arial"/>
          <w:b/>
          <w:i/>
          <w:color w:val="00AFF0"/>
          <w:sz w:val="22"/>
          <w:szCs w:val="22"/>
          <w:shd w:val="clear" w:color="auto" w:fill="FFFFFF"/>
        </w:rPr>
        <w:t>Artículo 137.</w:t>
      </w:r>
      <w:r w:rsidRPr="00C25515">
        <w:rPr>
          <w:rFonts w:ascii="Arial" w:hAnsi="Arial" w:cs="Arial"/>
          <w:i/>
          <w:color w:val="00AFF0"/>
          <w:sz w:val="22"/>
          <w:szCs w:val="22"/>
          <w:shd w:val="clear" w:color="auto" w:fill="FFFFFF"/>
        </w:rPr>
        <w:t xml:space="preserve"> </w:t>
      </w:r>
      <w:r w:rsidRPr="00F37E83">
        <w:rPr>
          <w:rFonts w:ascii="Arial" w:hAnsi="Arial" w:cs="Arial"/>
          <w:i/>
          <w:color w:val="000000"/>
          <w:sz w:val="22"/>
          <w:szCs w:val="22"/>
          <w:shd w:val="clear" w:color="auto" w:fill="FFFFFF"/>
        </w:rPr>
        <w:t>De conformidad con lo dispuesto en la Ley 5ª de 1992, las Comisiones Especiales de Seguimiento al Proceso de Descentralización y Ordenamiento Territorial de Senado y Cámara tendrán a su cargo el seguimiento y control político a la aplicación de lo dispuesto en la presente ley y su reglamentación así como en las Leyes 9 de 1989, 2ª de 1991, 3ª de 1997, 507 de 1999, 614 de 2000 y las demás leyes concordantes.</w:t>
      </w:r>
    </w:p>
    <w:p w:rsidR="00603022" w:rsidRPr="00F37E83" w:rsidRDefault="00603022" w:rsidP="00603022">
      <w:pPr>
        <w:pStyle w:val="NormalWeb"/>
        <w:spacing w:before="0" w:beforeAutospacing="0" w:after="0" w:afterAutospacing="0"/>
        <w:jc w:val="both"/>
        <w:rPr>
          <w:rFonts w:ascii="Arial" w:hAnsi="Arial" w:cs="Arial"/>
          <w:b/>
          <w:bCs/>
          <w:color w:val="000000"/>
          <w:sz w:val="22"/>
          <w:szCs w:val="22"/>
          <w:shd w:val="clear" w:color="auto" w:fill="FFFFFF"/>
        </w:rPr>
      </w:pPr>
    </w:p>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r w:rsidRPr="00F37E83">
        <w:rPr>
          <w:rFonts w:ascii="Arial" w:hAnsi="Arial" w:cs="Arial"/>
          <w:b/>
          <w:bCs/>
          <w:color w:val="000000"/>
          <w:sz w:val="22"/>
          <w:szCs w:val="22"/>
          <w:shd w:val="clear" w:color="auto" w:fill="FFFFFF"/>
        </w:rPr>
        <w:t>Artículo 11.</w:t>
      </w:r>
      <w:r w:rsidRPr="00F37E83">
        <w:rPr>
          <w:rStyle w:val="apple-converted-space"/>
          <w:rFonts w:ascii="Arial" w:hAnsi="Arial" w:cs="Arial"/>
          <w:b/>
          <w:bCs/>
          <w:color w:val="000000"/>
          <w:sz w:val="22"/>
          <w:szCs w:val="22"/>
          <w:shd w:val="clear" w:color="auto" w:fill="FFFFFF"/>
        </w:rPr>
        <w:t> </w:t>
      </w:r>
      <w:r w:rsidRPr="00F37E83">
        <w:rPr>
          <w:rFonts w:ascii="Arial" w:hAnsi="Arial" w:cs="Arial"/>
          <w:color w:val="000000"/>
          <w:sz w:val="22"/>
          <w:szCs w:val="22"/>
          <w:shd w:val="clear" w:color="auto" w:fill="FFFFFF"/>
        </w:rPr>
        <w:t xml:space="preserve">Para el caso de la Vivienda de Interés Social </w:t>
      </w:r>
      <w:proofErr w:type="spellStart"/>
      <w:r w:rsidRPr="00F37E83">
        <w:rPr>
          <w:rFonts w:ascii="Arial" w:hAnsi="Arial" w:cs="Arial"/>
          <w:color w:val="000000"/>
          <w:sz w:val="22"/>
          <w:szCs w:val="22"/>
          <w:shd w:val="clear" w:color="auto" w:fill="FFFFFF"/>
        </w:rPr>
        <w:t>subsidiable</w:t>
      </w:r>
      <w:proofErr w:type="spellEnd"/>
      <w:r w:rsidRPr="00F37E83">
        <w:rPr>
          <w:rFonts w:ascii="Arial" w:hAnsi="Arial" w:cs="Arial"/>
          <w:color w:val="000000"/>
          <w:sz w:val="22"/>
          <w:szCs w:val="22"/>
          <w:shd w:val="clear" w:color="auto" w:fill="FFFFFF"/>
        </w:rPr>
        <w:t xml:space="preserve"> (VIS), los costos de las curadurías deben rebajarse en un cincuenta por ciento (50%) para todos los usuarios.</w:t>
      </w:r>
    </w:p>
    <w:p w:rsidR="00603022" w:rsidRPr="00F37E83" w:rsidRDefault="00603022" w:rsidP="00603022">
      <w:pPr>
        <w:pStyle w:val="NormalWeb"/>
        <w:shd w:val="clear" w:color="auto" w:fill="FFFFFF"/>
        <w:spacing w:before="0" w:beforeAutospacing="0" w:after="0" w:afterAutospacing="0"/>
        <w:jc w:val="both"/>
        <w:rPr>
          <w:rFonts w:ascii="Arial" w:hAnsi="Arial" w:cs="Arial"/>
          <w:b/>
          <w:bCs/>
          <w:color w:val="000000"/>
          <w:sz w:val="22"/>
          <w:szCs w:val="22"/>
        </w:rPr>
      </w:pPr>
    </w:p>
    <w:p w:rsidR="00603022" w:rsidRPr="00F37E83" w:rsidRDefault="00603022" w:rsidP="00603022">
      <w:pPr>
        <w:pStyle w:val="NormalWeb"/>
        <w:shd w:val="clear" w:color="auto" w:fill="FFFFFF"/>
        <w:spacing w:before="0" w:beforeAutospacing="0" w:after="0" w:afterAutospacing="0"/>
        <w:jc w:val="both"/>
        <w:rPr>
          <w:rFonts w:ascii="Arial" w:hAnsi="Arial" w:cs="Arial"/>
          <w:color w:val="000000"/>
          <w:sz w:val="22"/>
          <w:szCs w:val="22"/>
        </w:rPr>
      </w:pPr>
      <w:r w:rsidRPr="00F37E83">
        <w:rPr>
          <w:rFonts w:ascii="Arial" w:hAnsi="Arial" w:cs="Arial"/>
          <w:b/>
          <w:bCs/>
          <w:color w:val="000000"/>
          <w:sz w:val="22"/>
          <w:szCs w:val="22"/>
        </w:rPr>
        <w:t>Artículo 12. </w:t>
      </w:r>
      <w:r w:rsidRPr="00F37E83">
        <w:rPr>
          <w:rFonts w:ascii="Arial" w:hAnsi="Arial" w:cs="Arial"/>
          <w:color w:val="000000"/>
          <w:sz w:val="22"/>
          <w:szCs w:val="22"/>
        </w:rPr>
        <w:t>Los Concejos Municipales y Distritales podrán revisar y hacer ajustes a los Planes de Ordenamiento Territoriales ya adoptados por las entidades territoriales y por iniciativa del alcalde.</w:t>
      </w:r>
    </w:p>
    <w:p w:rsidR="00603022" w:rsidRPr="00F37E83" w:rsidRDefault="00603022" w:rsidP="00603022">
      <w:pPr>
        <w:pStyle w:val="NormalWeb"/>
        <w:shd w:val="clear" w:color="auto" w:fill="FFFFFF"/>
        <w:spacing w:before="0" w:beforeAutospacing="0" w:after="0" w:afterAutospacing="0"/>
        <w:jc w:val="both"/>
        <w:rPr>
          <w:rFonts w:ascii="Arial" w:hAnsi="Arial" w:cs="Arial"/>
          <w:color w:val="000000"/>
          <w:sz w:val="22"/>
          <w:szCs w:val="22"/>
        </w:rPr>
      </w:pPr>
    </w:p>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r w:rsidRPr="00F37E83">
        <w:rPr>
          <w:rFonts w:ascii="Arial" w:hAnsi="Arial" w:cs="Arial"/>
          <w:color w:val="000000"/>
          <w:sz w:val="22"/>
          <w:szCs w:val="22"/>
          <w:shd w:val="clear" w:color="auto" w:fill="FFFFFF"/>
        </w:rPr>
        <w:t>Si el concejo no aprueba en noventa (90) días calendario la iniciativa, lo podrá hacer por decreto el alcalde.</w:t>
      </w:r>
    </w:p>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603022" w:rsidRPr="00341C85" w:rsidTr="004978AF">
        <w:tc>
          <w:tcPr>
            <w:tcW w:w="5000" w:type="pct"/>
            <w:shd w:val="clear" w:color="auto" w:fill="E4F9B1"/>
          </w:tcPr>
          <w:p w:rsidR="00603022" w:rsidRPr="00341C85" w:rsidRDefault="00603022" w:rsidP="004978AF">
            <w:pPr>
              <w:jc w:val="both"/>
              <w:rPr>
                <w:rFonts w:ascii="Agency FB" w:hAnsi="Agency FB" w:cs="Aparajita"/>
                <w:b/>
              </w:rPr>
            </w:pPr>
            <w:r w:rsidRPr="00341C85">
              <w:rPr>
                <w:rFonts w:ascii="Agency FB" w:hAnsi="Agency FB" w:cs="Aparajita"/>
                <w:b/>
              </w:rPr>
              <w:t xml:space="preserve">Concordancia. El Decreto </w:t>
            </w:r>
            <w:r w:rsidR="00341C85">
              <w:rPr>
                <w:rFonts w:ascii="Agency FB" w:hAnsi="Agency FB" w:cs="Aparajita"/>
                <w:b/>
              </w:rPr>
              <w:t xml:space="preserve">Único 1077 </w:t>
            </w:r>
            <w:r w:rsidRPr="00341C85">
              <w:rPr>
                <w:rFonts w:ascii="Agency FB" w:hAnsi="Agency FB" w:cs="Aparajita"/>
                <w:b/>
              </w:rPr>
              <w:t>de 20</w:t>
            </w:r>
            <w:r w:rsidR="00341C85">
              <w:rPr>
                <w:rFonts w:ascii="Agency FB" w:hAnsi="Agency FB" w:cs="Aparajita"/>
                <w:b/>
              </w:rPr>
              <w:t>15</w:t>
            </w:r>
            <w:r w:rsidRPr="00341C85">
              <w:rPr>
                <w:rFonts w:ascii="Agency FB" w:hAnsi="Agency FB" w:cs="Aparajita"/>
                <w:b/>
              </w:rPr>
              <w:t xml:space="preserve"> señala:</w:t>
            </w:r>
          </w:p>
          <w:p w:rsidR="00C22910" w:rsidRPr="00341C85" w:rsidRDefault="00C22910" w:rsidP="004978AF">
            <w:pPr>
              <w:jc w:val="both"/>
              <w:rPr>
                <w:rFonts w:ascii="Aparajita" w:hAnsi="Aparajita" w:cs="Aparajita"/>
                <w:b/>
                <w:sz w:val="20"/>
                <w:szCs w:val="20"/>
              </w:rPr>
            </w:pPr>
          </w:p>
          <w:p w:rsidR="00341C85" w:rsidRPr="00341C85" w:rsidRDefault="00341C85" w:rsidP="00341C85">
            <w:pPr>
              <w:jc w:val="both"/>
              <w:rPr>
                <w:rFonts w:ascii="Aparajita" w:hAnsi="Aparajita" w:cs="Aparajita"/>
                <w:sz w:val="20"/>
                <w:szCs w:val="20"/>
              </w:rPr>
            </w:pPr>
            <w:r w:rsidRPr="00341C85">
              <w:rPr>
                <w:rFonts w:ascii="Aparajita" w:hAnsi="Aparajita" w:cs="Aparajita"/>
                <w:b/>
                <w:sz w:val="20"/>
                <w:szCs w:val="20"/>
              </w:rPr>
              <w:t>ARTICULO 2.2.2.1.2.6.3 Procedimiento para aprobar y adoptar las revisiones.</w:t>
            </w:r>
            <w:r w:rsidRPr="00341C85">
              <w:rPr>
                <w:rFonts w:ascii="Aparajita" w:hAnsi="Aparajita" w:cs="Aparajita"/>
                <w:sz w:val="20"/>
                <w:szCs w:val="20"/>
              </w:rPr>
              <w:t xml:space="preserve"> Todo proyecto de revisión y modificación del Plan de Ordenamiento Territorial o de alguno de sus contenidos se someterá a los mismos trámites de concertación, consulta y aprobación </w:t>
            </w:r>
            <w:proofErr w:type="gramStart"/>
            <w:r w:rsidRPr="00341C85">
              <w:rPr>
                <w:rFonts w:ascii="Aparajita" w:hAnsi="Aparajita" w:cs="Aparajita"/>
                <w:sz w:val="20"/>
                <w:szCs w:val="20"/>
              </w:rPr>
              <w:t>previstos</w:t>
            </w:r>
            <w:proofErr w:type="gramEnd"/>
            <w:r w:rsidRPr="00341C85">
              <w:rPr>
                <w:rFonts w:ascii="Aparajita" w:hAnsi="Aparajita" w:cs="Aparajita"/>
                <w:sz w:val="20"/>
                <w:szCs w:val="20"/>
              </w:rPr>
              <w:t xml:space="preserve"> en los artículos 24 y 25 de la Ley 388 de 1997.</w:t>
            </w:r>
          </w:p>
          <w:p w:rsidR="00341C85" w:rsidRPr="00341C85" w:rsidRDefault="00341C85" w:rsidP="00341C85">
            <w:pPr>
              <w:jc w:val="both"/>
              <w:rPr>
                <w:rFonts w:ascii="Aparajita" w:hAnsi="Aparajita" w:cs="Aparajita"/>
                <w:sz w:val="20"/>
                <w:szCs w:val="20"/>
              </w:rPr>
            </w:pPr>
            <w:r w:rsidRPr="00341C85">
              <w:rPr>
                <w:rFonts w:ascii="Aparajita" w:hAnsi="Aparajita" w:cs="Aparajita"/>
                <w:sz w:val="20"/>
                <w:szCs w:val="20"/>
              </w:rPr>
              <w:t>Ante la declaratoria de desastre o calamidad pública, los trámites de concertación interinstitucional y consulta ciudadana del proyecto de revisión podrán ser adelantados paralelamente ante las instancias y autoridades competentes.</w:t>
            </w:r>
          </w:p>
          <w:p w:rsidR="00341C85" w:rsidRPr="00341C85" w:rsidRDefault="00341C85" w:rsidP="00341C85">
            <w:pPr>
              <w:jc w:val="both"/>
              <w:rPr>
                <w:rFonts w:ascii="Aparajita" w:hAnsi="Aparajita" w:cs="Aparajita"/>
                <w:sz w:val="20"/>
                <w:szCs w:val="20"/>
              </w:rPr>
            </w:pPr>
            <w:r w:rsidRPr="00341C85">
              <w:rPr>
                <w:rFonts w:ascii="Aparajita" w:hAnsi="Aparajita" w:cs="Aparajita"/>
                <w:sz w:val="20"/>
                <w:szCs w:val="20"/>
              </w:rPr>
              <w:t>(Decreto 4002 de 2004, art.7)</w:t>
            </w:r>
          </w:p>
          <w:p w:rsidR="00341C85" w:rsidRPr="00341C85" w:rsidRDefault="00341C85" w:rsidP="00341C85">
            <w:pPr>
              <w:jc w:val="both"/>
              <w:rPr>
                <w:rFonts w:ascii="Aparajita" w:hAnsi="Aparajita" w:cs="Aparajita"/>
                <w:b/>
                <w:sz w:val="20"/>
                <w:szCs w:val="20"/>
              </w:rPr>
            </w:pPr>
          </w:p>
          <w:p w:rsidR="00341C85" w:rsidRPr="00341C85" w:rsidRDefault="00341C85" w:rsidP="00341C85">
            <w:pPr>
              <w:jc w:val="both"/>
              <w:rPr>
                <w:rFonts w:ascii="Aparajita" w:hAnsi="Aparajita" w:cs="Aparajita"/>
                <w:sz w:val="20"/>
                <w:szCs w:val="20"/>
              </w:rPr>
            </w:pPr>
            <w:r w:rsidRPr="00341C85">
              <w:rPr>
                <w:rFonts w:ascii="Aparajita" w:hAnsi="Aparajita" w:cs="Aparajita"/>
                <w:b/>
                <w:sz w:val="20"/>
                <w:szCs w:val="20"/>
              </w:rPr>
              <w:t>Parágrafo.</w:t>
            </w:r>
            <w:r w:rsidRPr="00341C85">
              <w:rPr>
                <w:rFonts w:ascii="Aparajita" w:hAnsi="Aparajita" w:cs="Aparajita"/>
                <w:sz w:val="20"/>
                <w:szCs w:val="20"/>
              </w:rPr>
              <w:t xml:space="preserve"> En todo caso, la revisión y ajuste de los Planes de Ordenamiento o de alguno de sus contenidos procederá cuando se cumplan las condiciones y requisitos que para tal efecto se determinan en la Ley 388 de 1997 y en sus decretos reglamentarios.</w:t>
            </w:r>
          </w:p>
          <w:p w:rsidR="00603022" w:rsidRPr="00341C85" w:rsidRDefault="00341C85" w:rsidP="00341C85">
            <w:pPr>
              <w:rPr>
                <w:rFonts w:ascii="Aparajita" w:hAnsi="Aparajita" w:cs="Aparajita"/>
                <w:sz w:val="20"/>
                <w:szCs w:val="20"/>
              </w:rPr>
            </w:pPr>
            <w:r w:rsidRPr="00341C85">
              <w:rPr>
                <w:rFonts w:ascii="Aparajita" w:hAnsi="Aparajita" w:cs="Aparajita"/>
                <w:sz w:val="20"/>
                <w:szCs w:val="20"/>
              </w:rPr>
              <w:t xml:space="preserve">(Decreto 2079 de 2003, art. 1) </w:t>
            </w:r>
          </w:p>
        </w:tc>
      </w:tr>
    </w:tbl>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p>
    <w:p w:rsidR="00603022" w:rsidRPr="00C25515" w:rsidRDefault="00603022" w:rsidP="00603022">
      <w:pPr>
        <w:pStyle w:val="NormalWeb"/>
        <w:spacing w:before="0" w:beforeAutospacing="0" w:after="0" w:afterAutospacing="0"/>
        <w:jc w:val="both"/>
        <w:rPr>
          <w:rFonts w:ascii="Arial" w:hAnsi="Arial" w:cs="Arial"/>
          <w:color w:val="00AFF0"/>
          <w:sz w:val="22"/>
          <w:szCs w:val="22"/>
          <w:shd w:val="clear" w:color="auto" w:fill="FFFFFF"/>
        </w:rPr>
      </w:pPr>
      <w:r w:rsidRPr="00F37E83">
        <w:rPr>
          <w:rFonts w:ascii="Arial" w:hAnsi="Arial" w:cs="Arial"/>
          <w:b/>
          <w:bCs/>
          <w:color w:val="000000"/>
          <w:sz w:val="22"/>
          <w:szCs w:val="22"/>
          <w:shd w:val="clear" w:color="auto" w:fill="FFFFFF"/>
        </w:rPr>
        <w:t>Artículo 13. </w:t>
      </w:r>
      <w:hyperlink r:id="rId14" w:anchor="5" w:history="1">
        <w:r w:rsidRPr="00C25515">
          <w:rPr>
            <w:rStyle w:val="Hipervnculo"/>
            <w:rFonts w:ascii="Arial" w:hAnsi="Arial" w:cs="Arial"/>
            <w:color w:val="00AFF0"/>
            <w:sz w:val="22"/>
            <w:szCs w:val="22"/>
            <w:u w:val="none"/>
            <w:shd w:val="clear" w:color="auto" w:fill="FFFFFF"/>
          </w:rPr>
          <w:t>Modificado por el art. 5, Ley 1001 de 2005</w:t>
        </w:r>
      </w:hyperlink>
      <w:r w:rsidRPr="00C25515">
        <w:rPr>
          <w:rFonts w:ascii="Arial" w:hAnsi="Arial" w:cs="Arial"/>
          <w:color w:val="00AFF0"/>
          <w:sz w:val="22"/>
          <w:szCs w:val="22"/>
          <w:shd w:val="clear" w:color="auto" w:fill="FFFFFF"/>
        </w:rPr>
        <w:t xml:space="preserve">. </w:t>
      </w:r>
    </w:p>
    <w:p w:rsidR="00603022" w:rsidRPr="00F37E83" w:rsidRDefault="00603022" w:rsidP="00603022">
      <w:pPr>
        <w:pStyle w:val="NormalWeb"/>
        <w:spacing w:before="0" w:beforeAutospacing="0" w:after="0" w:afterAutospacing="0"/>
        <w:ind w:left="708"/>
        <w:jc w:val="both"/>
        <w:rPr>
          <w:rFonts w:ascii="Arial" w:hAnsi="Arial" w:cs="Arial"/>
          <w:i/>
        </w:rPr>
      </w:pPr>
      <w:r w:rsidRPr="00C25515">
        <w:rPr>
          <w:rFonts w:ascii="Arial" w:hAnsi="Arial" w:cs="Arial"/>
          <w:b/>
          <w:bCs/>
          <w:i/>
          <w:color w:val="00AFF0"/>
        </w:rPr>
        <w:t xml:space="preserve">Artículo 5°. </w:t>
      </w:r>
      <w:r w:rsidRPr="00C25515">
        <w:rPr>
          <w:rFonts w:ascii="Arial" w:hAnsi="Arial" w:cs="Arial"/>
          <w:i/>
          <w:color w:val="00AFF0"/>
        </w:rPr>
        <w:t xml:space="preserve">El artículo </w:t>
      </w:r>
      <w:hyperlink r:id="rId15" w:anchor="13" w:history="1">
        <w:r w:rsidRPr="00C25515">
          <w:rPr>
            <w:rStyle w:val="Hipervnculo"/>
            <w:rFonts w:ascii="Arial" w:hAnsi="Arial" w:cs="Arial"/>
            <w:i/>
            <w:color w:val="00AFF0"/>
            <w:u w:val="none"/>
          </w:rPr>
          <w:t>13</w:t>
        </w:r>
      </w:hyperlink>
      <w:r w:rsidRPr="00C25515">
        <w:rPr>
          <w:rFonts w:ascii="Arial" w:hAnsi="Arial" w:cs="Arial"/>
          <w:i/>
          <w:color w:val="00AFF0"/>
        </w:rPr>
        <w:t xml:space="preserve"> de la Ley 810 de 2003 quedará así: </w:t>
      </w:r>
      <w:r w:rsidRPr="00F37E83">
        <w:rPr>
          <w:rFonts w:ascii="Arial" w:hAnsi="Arial" w:cs="Arial"/>
          <w:i/>
        </w:rPr>
        <w:t xml:space="preserve">El Instituto Nacional de Vivienda de Interés Social y Reforma Urbana, </w:t>
      </w:r>
      <w:proofErr w:type="spellStart"/>
      <w:r w:rsidRPr="00F37E83">
        <w:rPr>
          <w:rFonts w:ascii="Arial" w:hAnsi="Arial" w:cs="Arial"/>
          <w:i/>
        </w:rPr>
        <w:t>Inurbe</w:t>
      </w:r>
      <w:proofErr w:type="spellEnd"/>
      <w:r w:rsidRPr="00F37E83">
        <w:rPr>
          <w:rFonts w:ascii="Arial" w:hAnsi="Arial" w:cs="Arial"/>
          <w:i/>
        </w:rPr>
        <w:t>, en Liquidación, durante su existencia cederá a título gratuito a los municipios y distritos los inmuebles de su propiedad que hubiesen sido cedidos por estos para el desarrollo de programas de vivienda y podrán ceder a otras entidades públicas los terrenos de su propiedad no aptos para vivienda de interés social, los cuales solo podrán destinarse a fines institucionales y sociales.</w:t>
      </w:r>
    </w:p>
    <w:p w:rsidR="00603022" w:rsidRPr="00F37E83" w:rsidRDefault="00603022" w:rsidP="00603022">
      <w:pPr>
        <w:pStyle w:val="NormalWeb"/>
        <w:spacing w:before="0" w:beforeAutospacing="0" w:after="0" w:afterAutospacing="0"/>
        <w:ind w:left="708"/>
        <w:jc w:val="both"/>
        <w:rPr>
          <w:rFonts w:ascii="Arial" w:hAnsi="Arial" w:cs="Arial"/>
          <w:i/>
        </w:rPr>
      </w:pPr>
      <w:r w:rsidRPr="00F37E83">
        <w:rPr>
          <w:rFonts w:ascii="Arial" w:hAnsi="Arial" w:cs="Arial"/>
          <w:i/>
        </w:rPr>
        <w:t>En cuanto a los inmuebles aptos para vivienda diferente de interés social, estos se enajenarán por un cincuenta por ciento (50%) de su avalúo comercial a los municipios o distritos que a la fecha de entrada en vigencia de esta ley tengan constituido el Banco de Tierras de que hablan las Leyes 9ª de 1989 y 388 de 1997.</w:t>
      </w:r>
    </w:p>
    <w:p w:rsidR="00603022" w:rsidRPr="00F37E83" w:rsidRDefault="00603022" w:rsidP="00603022">
      <w:pPr>
        <w:pStyle w:val="NormalWeb"/>
        <w:spacing w:before="0" w:beforeAutospacing="0" w:after="0" w:afterAutospacing="0"/>
        <w:jc w:val="both"/>
        <w:rPr>
          <w:rFonts w:ascii="Arial" w:hAnsi="Arial" w:cs="Arial"/>
          <w:b/>
          <w:bCs/>
          <w:color w:val="000000"/>
          <w:sz w:val="22"/>
          <w:szCs w:val="22"/>
          <w:shd w:val="clear" w:color="auto" w:fill="FFFFFF"/>
        </w:rPr>
      </w:pPr>
    </w:p>
    <w:p w:rsidR="00603022" w:rsidRPr="00F37E83" w:rsidRDefault="00603022" w:rsidP="00603022">
      <w:pPr>
        <w:pStyle w:val="NormalWeb"/>
        <w:spacing w:before="0" w:beforeAutospacing="0" w:after="0" w:afterAutospacing="0"/>
        <w:jc w:val="both"/>
        <w:rPr>
          <w:rFonts w:ascii="Arial" w:hAnsi="Arial" w:cs="Arial"/>
          <w:color w:val="000000"/>
          <w:sz w:val="22"/>
          <w:szCs w:val="22"/>
          <w:shd w:val="clear" w:color="auto" w:fill="FFFFFF"/>
        </w:rPr>
      </w:pPr>
      <w:r w:rsidRPr="00F37E83">
        <w:rPr>
          <w:rFonts w:ascii="Arial" w:hAnsi="Arial" w:cs="Arial"/>
          <w:b/>
          <w:bCs/>
          <w:color w:val="000000"/>
          <w:sz w:val="22"/>
          <w:szCs w:val="22"/>
          <w:shd w:val="clear" w:color="auto" w:fill="FFFFFF"/>
        </w:rPr>
        <w:t>Artículo 14.</w:t>
      </w:r>
      <w:r w:rsidRPr="00F37E83">
        <w:rPr>
          <w:rStyle w:val="apple-converted-space"/>
          <w:rFonts w:ascii="Arial" w:hAnsi="Arial" w:cs="Arial"/>
          <w:b/>
          <w:bCs/>
          <w:color w:val="000000"/>
          <w:sz w:val="22"/>
          <w:szCs w:val="22"/>
          <w:shd w:val="clear" w:color="auto" w:fill="FFFFFF"/>
        </w:rPr>
        <w:t> </w:t>
      </w:r>
      <w:r w:rsidRPr="00F37E83">
        <w:rPr>
          <w:rFonts w:ascii="Arial" w:hAnsi="Arial" w:cs="Arial"/>
          <w:color w:val="000000"/>
          <w:sz w:val="22"/>
          <w:szCs w:val="22"/>
          <w:shd w:val="clear" w:color="auto" w:fill="FFFFFF"/>
        </w:rPr>
        <w:t>La presente ley rige a partir de la fecha de su promulgación y deroga todas las disposiciones que le sean contrarias.</w:t>
      </w:r>
    </w:p>
    <w:p w:rsidR="00603022" w:rsidRPr="00F37E83" w:rsidRDefault="00603022" w:rsidP="00603022">
      <w:pPr>
        <w:pStyle w:val="NormalWeb"/>
        <w:spacing w:before="0" w:beforeAutospacing="0" w:after="0" w:afterAutospacing="0"/>
        <w:jc w:val="both"/>
        <w:rPr>
          <w:rFonts w:ascii="Arial" w:hAnsi="Arial" w:cs="Arial"/>
          <w:b/>
          <w:bCs/>
          <w:color w:val="000000"/>
          <w:sz w:val="22"/>
          <w:szCs w:val="22"/>
          <w:shd w:val="clear" w:color="auto" w:fill="FFFFFF"/>
        </w:rPr>
      </w:pPr>
    </w:p>
    <w:p w:rsidR="00603022" w:rsidRPr="00F37E83" w:rsidRDefault="00603022" w:rsidP="00603022">
      <w:pPr>
        <w:pStyle w:val="NormalWeb"/>
        <w:spacing w:before="0" w:beforeAutospacing="0" w:after="0" w:afterAutospacing="0"/>
        <w:jc w:val="both"/>
        <w:rPr>
          <w:rFonts w:ascii="Arial" w:hAnsi="Arial" w:cs="Arial"/>
          <w:b/>
          <w:bCs/>
          <w:color w:val="000000"/>
          <w:sz w:val="22"/>
          <w:szCs w:val="22"/>
          <w:shd w:val="clear" w:color="auto" w:fill="FFFFFF"/>
        </w:rPr>
      </w:pPr>
    </w:p>
    <w:p w:rsidR="00603022" w:rsidRPr="00F37E83" w:rsidRDefault="00603022" w:rsidP="00603022">
      <w:pPr>
        <w:pStyle w:val="NormalWeb"/>
        <w:spacing w:before="0" w:beforeAutospacing="0" w:after="0" w:afterAutospacing="0"/>
        <w:jc w:val="both"/>
        <w:rPr>
          <w:rFonts w:ascii="Arial" w:hAnsi="Arial" w:cs="Arial"/>
          <w:bCs/>
          <w:color w:val="000000"/>
          <w:sz w:val="22"/>
          <w:szCs w:val="22"/>
          <w:shd w:val="clear" w:color="auto" w:fill="FFFFFF"/>
        </w:rPr>
      </w:pPr>
      <w:r w:rsidRPr="00F37E83">
        <w:rPr>
          <w:rFonts w:ascii="Arial" w:hAnsi="Arial" w:cs="Arial"/>
          <w:bCs/>
          <w:color w:val="000000"/>
          <w:sz w:val="22"/>
          <w:szCs w:val="22"/>
          <w:shd w:val="clear" w:color="auto" w:fill="FFFFFF"/>
        </w:rPr>
        <w:t>El Presidente del honorable Senado de la República,</w:t>
      </w:r>
    </w:p>
    <w:p w:rsidR="00603022" w:rsidRPr="00F37E83" w:rsidRDefault="00603022" w:rsidP="00603022">
      <w:pPr>
        <w:pStyle w:val="NormalWeb"/>
        <w:spacing w:before="0" w:beforeAutospacing="0" w:after="0" w:afterAutospacing="0"/>
        <w:jc w:val="both"/>
        <w:rPr>
          <w:rFonts w:ascii="Arial" w:hAnsi="Arial" w:cs="Arial"/>
          <w:bCs/>
          <w:i/>
          <w:iCs/>
          <w:color w:val="000000"/>
          <w:sz w:val="22"/>
          <w:szCs w:val="22"/>
          <w:shd w:val="clear" w:color="auto" w:fill="FFFFFF"/>
        </w:rPr>
      </w:pPr>
      <w:r w:rsidRPr="00F37E83">
        <w:rPr>
          <w:rFonts w:ascii="Arial" w:hAnsi="Arial" w:cs="Arial"/>
          <w:bCs/>
          <w:i/>
          <w:iCs/>
          <w:color w:val="000000"/>
          <w:sz w:val="22"/>
          <w:szCs w:val="22"/>
          <w:shd w:val="clear" w:color="auto" w:fill="FFFFFF"/>
        </w:rPr>
        <w:t>Luis Alfredo Ramos Botero.</w:t>
      </w:r>
    </w:p>
    <w:p w:rsidR="00603022" w:rsidRPr="00F37E83" w:rsidRDefault="00603022" w:rsidP="00603022">
      <w:pPr>
        <w:pStyle w:val="NormalWeb"/>
        <w:spacing w:before="0" w:beforeAutospacing="0" w:after="0" w:afterAutospacing="0"/>
        <w:jc w:val="both"/>
        <w:rPr>
          <w:rFonts w:ascii="Arial" w:hAnsi="Arial" w:cs="Arial"/>
          <w:bCs/>
          <w:color w:val="000000"/>
          <w:sz w:val="22"/>
          <w:szCs w:val="22"/>
          <w:shd w:val="clear" w:color="auto" w:fill="FFFFFF"/>
        </w:rPr>
      </w:pPr>
      <w:r w:rsidRPr="00F37E83">
        <w:rPr>
          <w:rFonts w:ascii="Arial" w:hAnsi="Arial" w:cs="Arial"/>
          <w:bCs/>
          <w:color w:val="000000"/>
          <w:sz w:val="22"/>
          <w:szCs w:val="22"/>
          <w:shd w:val="clear" w:color="auto" w:fill="FFFFFF"/>
        </w:rPr>
        <w:t>El Secretario General del honorable Senado de la República,</w:t>
      </w:r>
    </w:p>
    <w:p w:rsidR="00603022" w:rsidRPr="00F37E83" w:rsidRDefault="00603022" w:rsidP="00603022">
      <w:pPr>
        <w:pStyle w:val="NormalWeb"/>
        <w:spacing w:before="0" w:beforeAutospacing="0" w:after="0" w:afterAutospacing="0"/>
        <w:jc w:val="both"/>
        <w:rPr>
          <w:rFonts w:ascii="Arial" w:hAnsi="Arial" w:cs="Arial"/>
          <w:bCs/>
          <w:i/>
          <w:iCs/>
          <w:color w:val="000000"/>
          <w:sz w:val="22"/>
          <w:szCs w:val="22"/>
          <w:shd w:val="clear" w:color="auto" w:fill="FFFFFF"/>
        </w:rPr>
      </w:pPr>
      <w:r w:rsidRPr="00F37E83">
        <w:rPr>
          <w:rFonts w:ascii="Arial" w:hAnsi="Arial" w:cs="Arial"/>
          <w:bCs/>
          <w:i/>
          <w:iCs/>
          <w:color w:val="000000"/>
          <w:sz w:val="22"/>
          <w:szCs w:val="22"/>
          <w:shd w:val="clear" w:color="auto" w:fill="FFFFFF"/>
        </w:rPr>
        <w:t xml:space="preserve">Emilio Ramón Otero </w:t>
      </w:r>
      <w:proofErr w:type="spellStart"/>
      <w:r w:rsidRPr="00F37E83">
        <w:rPr>
          <w:rFonts w:ascii="Arial" w:hAnsi="Arial" w:cs="Arial"/>
          <w:bCs/>
          <w:i/>
          <w:iCs/>
          <w:color w:val="000000"/>
          <w:sz w:val="22"/>
          <w:szCs w:val="22"/>
          <w:shd w:val="clear" w:color="auto" w:fill="FFFFFF"/>
        </w:rPr>
        <w:t>Dajud</w:t>
      </w:r>
      <w:proofErr w:type="spellEnd"/>
      <w:r w:rsidRPr="00F37E83">
        <w:rPr>
          <w:rFonts w:ascii="Arial" w:hAnsi="Arial" w:cs="Arial"/>
          <w:bCs/>
          <w:i/>
          <w:iCs/>
          <w:color w:val="000000"/>
          <w:sz w:val="22"/>
          <w:szCs w:val="22"/>
          <w:shd w:val="clear" w:color="auto" w:fill="FFFFFF"/>
        </w:rPr>
        <w:t>.</w:t>
      </w:r>
    </w:p>
    <w:p w:rsidR="00603022" w:rsidRPr="00F37E83" w:rsidRDefault="00603022" w:rsidP="00603022">
      <w:pPr>
        <w:pStyle w:val="NormalWeb"/>
        <w:spacing w:before="0" w:beforeAutospacing="0" w:after="0" w:afterAutospacing="0"/>
        <w:jc w:val="both"/>
        <w:rPr>
          <w:rFonts w:ascii="Arial" w:hAnsi="Arial" w:cs="Arial"/>
          <w:bCs/>
          <w:color w:val="000000"/>
          <w:sz w:val="22"/>
          <w:szCs w:val="22"/>
          <w:shd w:val="clear" w:color="auto" w:fill="FFFFFF"/>
        </w:rPr>
      </w:pPr>
      <w:r w:rsidRPr="00F37E83">
        <w:rPr>
          <w:rFonts w:ascii="Arial" w:hAnsi="Arial" w:cs="Arial"/>
          <w:bCs/>
          <w:color w:val="000000"/>
          <w:sz w:val="22"/>
          <w:szCs w:val="22"/>
          <w:shd w:val="clear" w:color="auto" w:fill="FFFFFF"/>
        </w:rPr>
        <w:t>El Presidente de la honorable Cámara de Representantes,</w:t>
      </w:r>
    </w:p>
    <w:p w:rsidR="00603022" w:rsidRPr="00F37E83" w:rsidRDefault="00603022" w:rsidP="00603022">
      <w:pPr>
        <w:pStyle w:val="NormalWeb"/>
        <w:spacing w:before="0" w:beforeAutospacing="0" w:after="0" w:afterAutospacing="0"/>
        <w:jc w:val="both"/>
        <w:rPr>
          <w:rFonts w:ascii="Arial" w:hAnsi="Arial" w:cs="Arial"/>
          <w:bCs/>
          <w:i/>
          <w:iCs/>
          <w:color w:val="000000"/>
          <w:sz w:val="22"/>
          <w:szCs w:val="22"/>
          <w:shd w:val="clear" w:color="auto" w:fill="FFFFFF"/>
        </w:rPr>
      </w:pPr>
      <w:r w:rsidRPr="00F37E83">
        <w:rPr>
          <w:rFonts w:ascii="Arial" w:hAnsi="Arial" w:cs="Arial"/>
          <w:bCs/>
          <w:i/>
          <w:iCs/>
          <w:color w:val="000000"/>
          <w:sz w:val="22"/>
          <w:szCs w:val="22"/>
          <w:shd w:val="clear" w:color="auto" w:fill="FFFFFF"/>
        </w:rPr>
        <w:t>William Vélez Mesa.</w:t>
      </w:r>
    </w:p>
    <w:p w:rsidR="00603022" w:rsidRPr="00F37E83" w:rsidRDefault="00603022" w:rsidP="00603022">
      <w:pPr>
        <w:pStyle w:val="NormalWeb"/>
        <w:spacing w:before="0" w:beforeAutospacing="0" w:after="0" w:afterAutospacing="0"/>
        <w:jc w:val="both"/>
        <w:rPr>
          <w:rFonts w:ascii="Arial" w:hAnsi="Arial" w:cs="Arial"/>
          <w:bCs/>
          <w:color w:val="000000"/>
          <w:sz w:val="22"/>
          <w:szCs w:val="22"/>
          <w:shd w:val="clear" w:color="auto" w:fill="FFFFFF"/>
        </w:rPr>
      </w:pPr>
      <w:r w:rsidRPr="00F37E83">
        <w:rPr>
          <w:rFonts w:ascii="Arial" w:hAnsi="Arial" w:cs="Arial"/>
          <w:bCs/>
          <w:color w:val="000000"/>
          <w:sz w:val="22"/>
          <w:szCs w:val="22"/>
          <w:shd w:val="clear" w:color="auto" w:fill="FFFFFF"/>
        </w:rPr>
        <w:t>El Secretario General de la honorable Cámara de Representantes,</w:t>
      </w:r>
    </w:p>
    <w:p w:rsidR="00603022" w:rsidRPr="00F37E83" w:rsidRDefault="00603022" w:rsidP="00603022">
      <w:pPr>
        <w:pStyle w:val="NormalWeb"/>
        <w:spacing w:before="0" w:beforeAutospacing="0" w:after="0" w:afterAutospacing="0"/>
        <w:jc w:val="both"/>
        <w:rPr>
          <w:rFonts w:ascii="Arial" w:hAnsi="Arial" w:cs="Arial"/>
          <w:bCs/>
          <w:i/>
          <w:iCs/>
          <w:color w:val="000000"/>
          <w:sz w:val="22"/>
          <w:szCs w:val="22"/>
          <w:shd w:val="clear" w:color="auto" w:fill="FFFFFF"/>
        </w:rPr>
      </w:pPr>
      <w:r w:rsidRPr="00F37E83">
        <w:rPr>
          <w:rFonts w:ascii="Arial" w:hAnsi="Arial" w:cs="Arial"/>
          <w:bCs/>
          <w:i/>
          <w:iCs/>
          <w:color w:val="000000"/>
          <w:sz w:val="22"/>
          <w:szCs w:val="22"/>
          <w:shd w:val="clear" w:color="auto" w:fill="FFFFFF"/>
        </w:rPr>
        <w:t>Angelino Lizcano Rivera.</w:t>
      </w:r>
    </w:p>
    <w:p w:rsidR="00603022" w:rsidRPr="00F37E83" w:rsidRDefault="00603022" w:rsidP="00603022">
      <w:pPr>
        <w:pStyle w:val="NormalWeb"/>
        <w:spacing w:before="0" w:beforeAutospacing="0" w:after="0" w:afterAutospacing="0"/>
        <w:jc w:val="both"/>
        <w:rPr>
          <w:rFonts w:ascii="Arial" w:hAnsi="Arial" w:cs="Arial"/>
          <w:bCs/>
          <w:color w:val="000000"/>
          <w:sz w:val="22"/>
          <w:szCs w:val="22"/>
          <w:shd w:val="clear" w:color="auto" w:fill="FFFFFF"/>
        </w:rPr>
      </w:pPr>
      <w:r w:rsidRPr="00F37E83">
        <w:rPr>
          <w:rFonts w:ascii="Arial" w:hAnsi="Arial" w:cs="Arial"/>
          <w:bCs/>
          <w:color w:val="000000"/>
          <w:sz w:val="22"/>
          <w:szCs w:val="22"/>
          <w:shd w:val="clear" w:color="auto" w:fill="FFFFFF"/>
        </w:rPr>
        <w:t xml:space="preserve">REPUBLICA DE COLOMBIA </w:t>
      </w:r>
      <w:r>
        <w:rPr>
          <w:rFonts w:ascii="Arial" w:hAnsi="Arial" w:cs="Arial"/>
          <w:bCs/>
          <w:color w:val="000000"/>
          <w:sz w:val="22"/>
          <w:szCs w:val="22"/>
          <w:shd w:val="clear" w:color="auto" w:fill="FFFFFF"/>
        </w:rPr>
        <w:t xml:space="preserve">- </w:t>
      </w:r>
      <w:r w:rsidRPr="00F37E83">
        <w:rPr>
          <w:rFonts w:ascii="Arial" w:hAnsi="Arial" w:cs="Arial"/>
          <w:bCs/>
          <w:color w:val="000000"/>
          <w:sz w:val="22"/>
          <w:szCs w:val="22"/>
          <w:shd w:val="clear" w:color="auto" w:fill="FFFFFF"/>
        </w:rPr>
        <w:t>GOBIERNO NACIONAL</w:t>
      </w:r>
    </w:p>
    <w:p w:rsidR="00603022" w:rsidRPr="00F37E83" w:rsidRDefault="00603022" w:rsidP="00603022">
      <w:pPr>
        <w:pStyle w:val="NormalWeb"/>
        <w:spacing w:before="0" w:beforeAutospacing="0" w:after="0" w:afterAutospacing="0"/>
        <w:jc w:val="both"/>
        <w:rPr>
          <w:rFonts w:ascii="Arial" w:hAnsi="Arial" w:cs="Arial"/>
          <w:bCs/>
          <w:color w:val="000000"/>
          <w:sz w:val="22"/>
          <w:szCs w:val="22"/>
          <w:shd w:val="clear" w:color="auto" w:fill="FFFFFF"/>
        </w:rPr>
      </w:pPr>
      <w:r w:rsidRPr="00F37E83">
        <w:rPr>
          <w:rFonts w:ascii="Arial" w:hAnsi="Arial" w:cs="Arial"/>
          <w:bCs/>
          <w:color w:val="000000"/>
          <w:sz w:val="22"/>
          <w:szCs w:val="22"/>
          <w:shd w:val="clear" w:color="auto" w:fill="FFFFFF"/>
        </w:rPr>
        <w:t>Publíquese y ejecútese.</w:t>
      </w:r>
    </w:p>
    <w:p w:rsidR="00603022" w:rsidRPr="00F37E83" w:rsidRDefault="00603022" w:rsidP="00603022">
      <w:pPr>
        <w:pStyle w:val="NormalWeb"/>
        <w:spacing w:before="0" w:beforeAutospacing="0" w:after="0" w:afterAutospacing="0"/>
        <w:jc w:val="both"/>
        <w:rPr>
          <w:rFonts w:ascii="Arial" w:hAnsi="Arial" w:cs="Arial"/>
          <w:bCs/>
          <w:color w:val="000000"/>
          <w:sz w:val="22"/>
          <w:szCs w:val="22"/>
          <w:shd w:val="clear" w:color="auto" w:fill="FFFFFF"/>
        </w:rPr>
      </w:pPr>
      <w:r w:rsidRPr="00F37E83">
        <w:rPr>
          <w:rFonts w:ascii="Arial" w:hAnsi="Arial" w:cs="Arial"/>
          <w:bCs/>
          <w:color w:val="000000"/>
          <w:sz w:val="22"/>
          <w:szCs w:val="22"/>
          <w:shd w:val="clear" w:color="auto" w:fill="FFFFFF"/>
        </w:rPr>
        <w:t>Dada en Bogotá, D. C., a 13 de junio de 2003.</w:t>
      </w:r>
    </w:p>
    <w:p w:rsidR="00603022" w:rsidRPr="00F37E83" w:rsidRDefault="00603022" w:rsidP="00603022">
      <w:pPr>
        <w:pStyle w:val="NormalWeb"/>
        <w:spacing w:before="0" w:beforeAutospacing="0" w:after="0" w:afterAutospacing="0"/>
        <w:jc w:val="both"/>
        <w:rPr>
          <w:rFonts w:ascii="Arial" w:hAnsi="Arial" w:cs="Arial"/>
          <w:bCs/>
          <w:color w:val="000000"/>
          <w:sz w:val="22"/>
          <w:szCs w:val="22"/>
          <w:shd w:val="clear" w:color="auto" w:fill="FFFFFF"/>
        </w:rPr>
      </w:pPr>
      <w:r w:rsidRPr="00F37E83">
        <w:rPr>
          <w:rFonts w:ascii="Arial" w:hAnsi="Arial" w:cs="Arial"/>
          <w:bCs/>
          <w:color w:val="000000"/>
          <w:sz w:val="22"/>
          <w:szCs w:val="22"/>
          <w:shd w:val="clear" w:color="auto" w:fill="FFFFFF"/>
        </w:rPr>
        <w:t>ÁLVARO URIBE VÉLEZ</w:t>
      </w:r>
    </w:p>
    <w:p w:rsidR="00603022" w:rsidRPr="00F37E83" w:rsidRDefault="00603022" w:rsidP="00603022">
      <w:pPr>
        <w:pStyle w:val="NormalWeb"/>
        <w:spacing w:before="0" w:beforeAutospacing="0" w:after="0" w:afterAutospacing="0"/>
        <w:jc w:val="both"/>
        <w:rPr>
          <w:rFonts w:ascii="Arial" w:hAnsi="Arial" w:cs="Arial"/>
          <w:bCs/>
          <w:color w:val="000000"/>
          <w:sz w:val="22"/>
          <w:szCs w:val="22"/>
          <w:shd w:val="clear" w:color="auto" w:fill="FFFFFF"/>
        </w:rPr>
      </w:pPr>
      <w:r w:rsidRPr="00F37E83">
        <w:rPr>
          <w:rFonts w:ascii="Arial" w:hAnsi="Arial" w:cs="Arial"/>
          <w:bCs/>
          <w:color w:val="000000"/>
          <w:sz w:val="22"/>
          <w:szCs w:val="22"/>
          <w:shd w:val="clear" w:color="auto" w:fill="FFFFFF"/>
        </w:rPr>
        <w:t>El Ministro de Hacienda y Crédito Público,</w:t>
      </w:r>
    </w:p>
    <w:p w:rsidR="00603022" w:rsidRPr="00F37E83" w:rsidRDefault="00603022" w:rsidP="00603022">
      <w:pPr>
        <w:pStyle w:val="NormalWeb"/>
        <w:spacing w:before="0" w:beforeAutospacing="0" w:after="0" w:afterAutospacing="0"/>
        <w:jc w:val="both"/>
        <w:rPr>
          <w:rFonts w:ascii="Arial" w:hAnsi="Arial" w:cs="Arial"/>
          <w:bCs/>
          <w:i/>
          <w:iCs/>
          <w:color w:val="000000"/>
          <w:sz w:val="22"/>
          <w:szCs w:val="22"/>
          <w:shd w:val="clear" w:color="auto" w:fill="FFFFFF"/>
        </w:rPr>
      </w:pPr>
      <w:r w:rsidRPr="00F37E83">
        <w:rPr>
          <w:rFonts w:ascii="Arial" w:hAnsi="Arial" w:cs="Arial"/>
          <w:bCs/>
          <w:i/>
          <w:iCs/>
          <w:color w:val="000000"/>
          <w:sz w:val="22"/>
          <w:szCs w:val="22"/>
          <w:shd w:val="clear" w:color="auto" w:fill="FFFFFF"/>
        </w:rPr>
        <w:t>Alberto Carrasquilla Barrera.</w:t>
      </w:r>
    </w:p>
    <w:p w:rsidR="00603022" w:rsidRPr="00F37E83" w:rsidRDefault="00603022" w:rsidP="00603022">
      <w:pPr>
        <w:pStyle w:val="NormalWeb"/>
        <w:spacing w:before="0" w:beforeAutospacing="0" w:after="0" w:afterAutospacing="0"/>
        <w:jc w:val="both"/>
        <w:rPr>
          <w:rFonts w:ascii="Arial" w:hAnsi="Arial" w:cs="Arial"/>
          <w:bCs/>
          <w:color w:val="000000"/>
          <w:sz w:val="22"/>
          <w:szCs w:val="22"/>
          <w:shd w:val="clear" w:color="auto" w:fill="FFFFFF"/>
        </w:rPr>
      </w:pPr>
      <w:r w:rsidRPr="00F37E83">
        <w:rPr>
          <w:rFonts w:ascii="Arial" w:hAnsi="Arial" w:cs="Arial"/>
          <w:bCs/>
          <w:color w:val="000000"/>
          <w:sz w:val="22"/>
          <w:szCs w:val="22"/>
          <w:shd w:val="clear" w:color="auto" w:fill="FFFFFF"/>
        </w:rPr>
        <w:t>La Ministra de Ambiente, Vivienda y Desarrollo Territorial,</w:t>
      </w:r>
    </w:p>
    <w:p w:rsidR="00603022" w:rsidRPr="00F37E83" w:rsidRDefault="00603022" w:rsidP="00603022">
      <w:pPr>
        <w:pStyle w:val="NormalWeb"/>
        <w:spacing w:before="0" w:beforeAutospacing="0" w:after="0" w:afterAutospacing="0"/>
        <w:jc w:val="both"/>
        <w:rPr>
          <w:rFonts w:ascii="Arial" w:hAnsi="Arial" w:cs="Arial"/>
          <w:bCs/>
          <w:i/>
          <w:iCs/>
          <w:color w:val="000000"/>
          <w:sz w:val="22"/>
          <w:szCs w:val="22"/>
          <w:shd w:val="clear" w:color="auto" w:fill="FFFFFF"/>
        </w:rPr>
      </w:pPr>
      <w:r w:rsidRPr="00F37E83">
        <w:rPr>
          <w:rFonts w:ascii="Arial" w:hAnsi="Arial" w:cs="Arial"/>
          <w:bCs/>
          <w:i/>
          <w:iCs/>
          <w:color w:val="000000"/>
          <w:sz w:val="22"/>
          <w:szCs w:val="22"/>
          <w:shd w:val="clear" w:color="auto" w:fill="FFFFFF"/>
        </w:rPr>
        <w:t>Cecilia Rodríguez González-Rubio.</w:t>
      </w:r>
    </w:p>
    <w:p w:rsidR="00603022" w:rsidRPr="00CD5872" w:rsidRDefault="00603022" w:rsidP="00603022">
      <w:pPr>
        <w:rPr>
          <w:szCs w:val="2"/>
        </w:rPr>
      </w:pPr>
      <w:r w:rsidRPr="00F37E83">
        <w:rPr>
          <w:rFonts w:ascii="Arial" w:hAnsi="Arial" w:cs="Arial"/>
          <w:bCs/>
          <w:color w:val="000000"/>
          <w:shd w:val="clear" w:color="auto" w:fill="FFFFFF"/>
        </w:rPr>
        <w:t>Nota: Publicado en el Diario Oficial 45220 de Junio 16 de 2003</w:t>
      </w:r>
    </w:p>
    <w:p w:rsidR="00F2641B" w:rsidRPr="00603022" w:rsidRDefault="00F2641B" w:rsidP="00603022"/>
    <w:sectPr w:rsidR="00F2641B" w:rsidRPr="00603022" w:rsidSect="00C22910">
      <w:headerReference w:type="default" r:id="rId16"/>
      <w:footerReference w:type="default" r:id="rId17"/>
      <w:pgSz w:w="12240" w:h="15840" w:code="1"/>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7C7" w:rsidRDefault="00AC67C7" w:rsidP="00A258EB">
      <w:pPr>
        <w:spacing w:after="0" w:line="240" w:lineRule="auto"/>
      </w:pPr>
      <w:r>
        <w:separator/>
      </w:r>
    </w:p>
  </w:endnote>
  <w:endnote w:type="continuationSeparator" w:id="0">
    <w:p w:rsidR="00AC67C7" w:rsidRDefault="00AC67C7" w:rsidP="00A2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Agency FB">
    <w:panose1 w:val="020B0503020202020204"/>
    <w:charset w:val="00"/>
    <w:family w:val="swiss"/>
    <w:pitch w:val="variable"/>
    <w:sig w:usb0="00000003" w:usb1="00000000" w:usb2="00000000" w:usb3="00000000" w:csb0="00000001" w:csb1="00000000"/>
  </w:font>
  <w:font w:name="Aparajita">
    <w:altName w:val="Arial"/>
    <w:panose1 w:val="020B0604020202020204"/>
    <w:charset w:val="00"/>
    <w:family w:val="swiss"/>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353295"/>
      <w:docPartObj>
        <w:docPartGallery w:val="Page Numbers (Bottom of Page)"/>
        <w:docPartUnique/>
      </w:docPartObj>
    </w:sdtPr>
    <w:sdtEndPr>
      <w:rPr>
        <w:sz w:val="16"/>
        <w:szCs w:val="16"/>
      </w:rPr>
    </w:sdtEndPr>
    <w:sdtContent>
      <w:p w:rsidR="00C22910" w:rsidRDefault="00C22910" w:rsidP="00C22910">
        <w:pPr>
          <w:pStyle w:val="Piedepgina"/>
          <w:pBdr>
            <w:bottom w:val="single" w:sz="12" w:space="1" w:color="auto"/>
          </w:pBdr>
          <w:jc w:val="center"/>
          <w:rPr>
            <w:i/>
            <w:color w:val="A6A6A6" w:themeColor="background1" w:themeShade="A6"/>
            <w:lang w:val="es-ES"/>
          </w:rPr>
        </w:pPr>
      </w:p>
      <w:p w:rsidR="00C22910" w:rsidRDefault="00C22910" w:rsidP="00C22910">
        <w:pPr>
          <w:pStyle w:val="Piedepgina"/>
          <w:tabs>
            <w:tab w:val="clear" w:pos="4419"/>
            <w:tab w:val="clear" w:pos="8838"/>
            <w:tab w:val="center" w:pos="4111"/>
          </w:tabs>
          <w:rPr>
            <w:rStyle w:val="Hipervnculo"/>
            <w:rFonts w:ascii="Corbel" w:hAnsi="Corbel"/>
            <w:i/>
            <w:color w:val="auto"/>
            <w:sz w:val="20"/>
            <w:szCs w:val="20"/>
            <w:u w:val="none"/>
            <w:lang w:val="es-ES"/>
          </w:rPr>
        </w:pPr>
        <w:r>
          <w:rPr>
            <w:sz w:val="20"/>
            <w:szCs w:val="20"/>
          </w:rPr>
          <w:t>C</w:t>
        </w:r>
        <w:r w:rsidRPr="00EC0190">
          <w:rPr>
            <w:sz w:val="20"/>
            <w:szCs w:val="20"/>
          </w:rPr>
          <w:t>onsulta</w:t>
        </w:r>
        <w:r>
          <w:rPr>
            <w:sz w:val="20"/>
            <w:szCs w:val="20"/>
          </w:rPr>
          <w:t xml:space="preserve"> a </w:t>
        </w:r>
        <w:r w:rsidRPr="00EC0190">
          <w:rPr>
            <w:sz w:val="20"/>
            <w:szCs w:val="20"/>
          </w:rPr>
          <w:t xml:space="preserve">un </w:t>
        </w:r>
        <w:r w:rsidRPr="00EC0190">
          <w:rPr>
            <w:b/>
            <w:sz w:val="20"/>
            <w:szCs w:val="20"/>
          </w:rPr>
          <w:t>abogado experto en esta materia</w:t>
        </w:r>
        <w:r w:rsidRPr="00EC0190">
          <w:rPr>
            <w:sz w:val="20"/>
            <w:szCs w:val="20"/>
          </w:rPr>
          <w:t>,</w:t>
        </w:r>
        <w:r>
          <w:rPr>
            <w:sz w:val="20"/>
            <w:szCs w:val="20"/>
          </w:rPr>
          <w:tab/>
        </w:r>
        <w:r>
          <w:rPr>
            <w:sz w:val="20"/>
            <w:szCs w:val="20"/>
          </w:rPr>
          <w:tab/>
        </w:r>
        <w:hyperlink r:id="rId1" w:history="1">
          <w:r w:rsidRPr="00EC0190">
            <w:rPr>
              <w:rStyle w:val="Hipervnculo"/>
              <w:rFonts w:ascii="Corbel" w:hAnsi="Corbel"/>
              <w:i/>
              <w:color w:val="auto"/>
              <w:sz w:val="20"/>
              <w:szCs w:val="20"/>
              <w:u w:val="none"/>
              <w:lang w:val="es-ES"/>
            </w:rPr>
            <w:t>www.angelesdepaz.com</w:t>
          </w:r>
        </w:hyperlink>
        <w:r>
          <w:rPr>
            <w:rStyle w:val="Hipervnculo"/>
            <w:rFonts w:ascii="Corbel" w:hAnsi="Corbel"/>
            <w:i/>
            <w:color w:val="auto"/>
            <w:sz w:val="20"/>
            <w:szCs w:val="20"/>
            <w:u w:val="none"/>
            <w:lang w:val="es-ES"/>
          </w:rPr>
          <w:tab/>
        </w:r>
        <w:r w:rsidRPr="00EC0190">
          <w:rPr>
            <w:rFonts w:ascii="Corbel" w:hAnsi="Corbel"/>
            <w:i/>
            <w:sz w:val="20"/>
            <w:szCs w:val="20"/>
            <w:lang w:val="es-ES"/>
          </w:rPr>
          <w:t>-</w:t>
        </w:r>
        <w:r w:rsidRPr="00EC0190">
          <w:rPr>
            <w:rFonts w:ascii="Corbel" w:hAnsi="Corbel"/>
            <w:i/>
            <w:sz w:val="20"/>
            <w:szCs w:val="20"/>
            <w:lang w:val="es-ES"/>
          </w:rPr>
          <w:tab/>
        </w:r>
        <w:hyperlink r:id="rId2" w:history="1">
          <w:r w:rsidRPr="00EC0190">
            <w:rPr>
              <w:rStyle w:val="Hipervnculo"/>
              <w:rFonts w:ascii="Corbel" w:hAnsi="Corbel"/>
              <w:i/>
              <w:color w:val="auto"/>
              <w:sz w:val="20"/>
              <w:szCs w:val="20"/>
              <w:u w:val="none"/>
              <w:lang w:val="es-ES"/>
            </w:rPr>
            <w:t>gleisonpineda@angelesdepaz.com</w:t>
          </w:r>
        </w:hyperlink>
      </w:p>
      <w:p w:rsidR="00C22910" w:rsidRPr="008E18D5" w:rsidRDefault="00C22910" w:rsidP="00C22910">
        <w:pPr>
          <w:pStyle w:val="Piedepgina"/>
          <w:jc w:val="right"/>
          <w:rPr>
            <w:rFonts w:ascii="Corbel" w:hAnsi="Corbel" w:cstheme="minorHAnsi"/>
            <w:b/>
            <w:i/>
            <w:sz w:val="4"/>
            <w:szCs w:val="4"/>
          </w:rPr>
        </w:pPr>
        <w:r w:rsidRPr="008E18D5">
          <w:rPr>
            <w:rFonts w:ascii="Corbel" w:hAnsi="Corbel" w:cstheme="minorHAnsi"/>
            <w:i/>
            <w:sz w:val="18"/>
            <w:szCs w:val="18"/>
          </w:rPr>
          <w:t xml:space="preserve"> “Encomienda al Señor tu camino; confía en él, y él actuará. Hará que tu justicia resplandezca como el alba; tu justa causa como el sol de mediodía”  </w:t>
        </w:r>
        <w:r w:rsidRPr="008E18D5">
          <w:rPr>
            <w:rFonts w:ascii="Calisto MT" w:hAnsi="Calisto MT" w:cstheme="minorHAnsi"/>
            <w:b/>
            <w:sz w:val="18"/>
            <w:szCs w:val="18"/>
          </w:rPr>
          <w:t>Salmo 37:5-6</w:t>
        </w:r>
      </w:p>
      <w:p w:rsidR="00C22910" w:rsidRPr="00220BAD" w:rsidRDefault="00C22910" w:rsidP="00C22910">
        <w:pPr>
          <w:pStyle w:val="Piedepgina"/>
          <w:rPr>
            <w:sz w:val="4"/>
            <w:szCs w:val="4"/>
          </w:rPr>
        </w:pPr>
      </w:p>
      <w:p w:rsidR="00C22910" w:rsidRPr="00C22910" w:rsidRDefault="00C22910" w:rsidP="00C22910">
        <w:pPr>
          <w:pStyle w:val="Piedepgina"/>
          <w:rPr>
            <w:sz w:val="16"/>
            <w:szCs w:val="16"/>
          </w:rPr>
        </w:pPr>
        <w:r w:rsidRPr="00C22910">
          <w:rPr>
            <w:sz w:val="16"/>
            <w:szCs w:val="16"/>
            <w:lang w:val="es-ES"/>
          </w:rPr>
          <w:t xml:space="preserve">Página </w:t>
        </w:r>
        <w:r w:rsidRPr="00C22910">
          <w:rPr>
            <w:b/>
            <w:bCs/>
            <w:sz w:val="16"/>
            <w:szCs w:val="16"/>
          </w:rPr>
          <w:fldChar w:fldCharType="begin"/>
        </w:r>
        <w:r w:rsidRPr="00C22910">
          <w:rPr>
            <w:b/>
            <w:bCs/>
            <w:sz w:val="16"/>
            <w:szCs w:val="16"/>
          </w:rPr>
          <w:instrText>PAGE  \* Arabic  \* MERGEFORMAT</w:instrText>
        </w:r>
        <w:r w:rsidRPr="00C22910">
          <w:rPr>
            <w:b/>
            <w:bCs/>
            <w:sz w:val="16"/>
            <w:szCs w:val="16"/>
          </w:rPr>
          <w:fldChar w:fldCharType="separate"/>
        </w:r>
        <w:r w:rsidR="008043A9" w:rsidRPr="008043A9">
          <w:rPr>
            <w:b/>
            <w:bCs/>
            <w:noProof/>
            <w:sz w:val="16"/>
            <w:szCs w:val="16"/>
            <w:lang w:val="es-ES"/>
          </w:rPr>
          <w:t>2</w:t>
        </w:r>
        <w:r w:rsidRPr="00C22910">
          <w:rPr>
            <w:b/>
            <w:bCs/>
            <w:sz w:val="16"/>
            <w:szCs w:val="16"/>
          </w:rPr>
          <w:fldChar w:fldCharType="end"/>
        </w:r>
        <w:r w:rsidRPr="00C22910">
          <w:rPr>
            <w:sz w:val="16"/>
            <w:szCs w:val="16"/>
            <w:lang w:val="es-ES"/>
          </w:rPr>
          <w:t xml:space="preserve"> de </w:t>
        </w:r>
        <w:r w:rsidRPr="00C22910">
          <w:rPr>
            <w:b/>
            <w:bCs/>
            <w:sz w:val="16"/>
            <w:szCs w:val="16"/>
          </w:rPr>
          <w:fldChar w:fldCharType="begin"/>
        </w:r>
        <w:r w:rsidRPr="00C22910">
          <w:rPr>
            <w:b/>
            <w:bCs/>
            <w:sz w:val="16"/>
            <w:szCs w:val="16"/>
          </w:rPr>
          <w:instrText>NUMPAGES  \* Arabic  \* MERGEFORMAT</w:instrText>
        </w:r>
        <w:r w:rsidRPr="00C22910">
          <w:rPr>
            <w:b/>
            <w:bCs/>
            <w:sz w:val="16"/>
            <w:szCs w:val="16"/>
          </w:rPr>
          <w:fldChar w:fldCharType="separate"/>
        </w:r>
        <w:r w:rsidR="008043A9" w:rsidRPr="008043A9">
          <w:rPr>
            <w:b/>
            <w:bCs/>
            <w:noProof/>
            <w:sz w:val="16"/>
            <w:szCs w:val="16"/>
            <w:lang w:val="es-ES"/>
          </w:rPr>
          <w:t>12</w:t>
        </w:r>
        <w:r w:rsidRPr="00C22910">
          <w:rPr>
            <w:b/>
            <w:bCs/>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7C7" w:rsidRDefault="00AC67C7" w:rsidP="00A258EB">
      <w:pPr>
        <w:spacing w:after="0" w:line="240" w:lineRule="auto"/>
      </w:pPr>
      <w:r>
        <w:separator/>
      </w:r>
    </w:p>
  </w:footnote>
  <w:footnote w:type="continuationSeparator" w:id="0">
    <w:p w:rsidR="00AC67C7" w:rsidRDefault="00AC67C7" w:rsidP="00A25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B70" w:rsidRDefault="002F0B70">
    <w:pPr>
      <w:pStyle w:val="Encabezado"/>
      <w:rPr>
        <w:sz w:val="4"/>
        <w:szCs w:val="4"/>
        <w:lang w:val="es-ES"/>
      </w:rPr>
    </w:pPr>
  </w:p>
  <w:p w:rsidR="0057319B" w:rsidRDefault="0057319B">
    <w:pPr>
      <w:pStyle w:val="Encabezado"/>
      <w:rPr>
        <w:sz w:val="4"/>
        <w:szCs w:val="4"/>
        <w:lang w:val="es-ES"/>
      </w:rPr>
    </w:pPr>
  </w:p>
  <w:p w:rsidR="00A77B83" w:rsidRDefault="00A77B83">
    <w:pPr>
      <w:pStyle w:val="Encabezado"/>
      <w:rPr>
        <w:sz w:val="4"/>
        <w:szCs w:val="4"/>
        <w:lang w:val="es-ES"/>
      </w:rPr>
    </w:pPr>
  </w:p>
  <w:p w:rsidR="00C22910" w:rsidRPr="00C65E8B" w:rsidRDefault="00C22910" w:rsidP="008043A9">
    <w:pPr>
      <w:pStyle w:val="Encabezado"/>
      <w:jc w:val="right"/>
      <w:rPr>
        <w:sz w:val="4"/>
        <w:szCs w:val="4"/>
        <w:lang w:val="es-ES"/>
      </w:rPr>
    </w:pPr>
    <w:r w:rsidRPr="008E18D5">
      <w:rPr>
        <w:noProof/>
        <w:lang w:val="es-ES" w:eastAsia="es-ES"/>
      </w:rPr>
      <w:drawing>
        <wp:inline distT="0" distB="0" distL="0" distR="0" wp14:anchorId="3D1A5CA3" wp14:editId="3760ABCA">
          <wp:extent cx="3467405" cy="581320"/>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484" cy="58133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144C4"/>
    <w:multiLevelType w:val="multilevel"/>
    <w:tmpl w:val="A8600D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B94E22"/>
    <w:multiLevelType w:val="multilevel"/>
    <w:tmpl w:val="6FE409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077492"/>
    <w:multiLevelType w:val="multilevel"/>
    <w:tmpl w:val="CB1A61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2674BD"/>
    <w:multiLevelType w:val="hybridMultilevel"/>
    <w:tmpl w:val="7EAAD9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3A572D"/>
    <w:multiLevelType w:val="hybridMultilevel"/>
    <w:tmpl w:val="4522AC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3E53BA"/>
    <w:multiLevelType w:val="multilevel"/>
    <w:tmpl w:val="84F2D024"/>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C21280"/>
    <w:multiLevelType w:val="multilevel"/>
    <w:tmpl w:val="8F62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5567A6"/>
    <w:multiLevelType w:val="hybridMultilevel"/>
    <w:tmpl w:val="39247C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8149D"/>
    <w:multiLevelType w:val="hybridMultilevel"/>
    <w:tmpl w:val="1A4086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E26DE3"/>
    <w:multiLevelType w:val="multilevel"/>
    <w:tmpl w:val="D108C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F4A0682"/>
    <w:multiLevelType w:val="hybridMultilevel"/>
    <w:tmpl w:val="C09A5E9E"/>
    <w:lvl w:ilvl="0" w:tplc="D7C2E7AE">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1197D2E"/>
    <w:multiLevelType w:val="hybridMultilevel"/>
    <w:tmpl w:val="3B86D52C"/>
    <w:lvl w:ilvl="0" w:tplc="96DCFCD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CDB4FA2"/>
    <w:multiLevelType w:val="hybridMultilevel"/>
    <w:tmpl w:val="E382A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DAE542A"/>
    <w:multiLevelType w:val="hybridMultilevel"/>
    <w:tmpl w:val="ED383F6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0"/>
  </w:num>
  <w:num w:numId="3">
    <w:abstractNumId w:val="13"/>
  </w:num>
  <w:num w:numId="4">
    <w:abstractNumId w:val="7"/>
  </w:num>
  <w:num w:numId="5">
    <w:abstractNumId w:val="8"/>
  </w:num>
  <w:num w:numId="6">
    <w:abstractNumId w:val="11"/>
  </w:num>
  <w:num w:numId="7">
    <w:abstractNumId w:val="3"/>
  </w:num>
  <w:num w:numId="8">
    <w:abstractNumId w:val="12"/>
  </w:num>
  <w:num w:numId="9">
    <w:abstractNumId w:val="6"/>
  </w:num>
  <w:num w:numId="10">
    <w:abstractNumId w:val="0"/>
  </w:num>
  <w:num w:numId="11">
    <w:abstractNumId w:val="5"/>
    <w:lvlOverride w:ilvl="0">
      <w:startOverride w:val="1"/>
    </w:lvlOverride>
  </w:num>
  <w:num w:numId="12">
    <w:abstractNumId w:val="2"/>
  </w:num>
  <w:num w:numId="13">
    <w:abstractNumId w:val="2"/>
    <w:lvlOverride w:ilvl="0">
      <w:startOverride w:val="9"/>
    </w:lvlOverride>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2C"/>
    <w:rsid w:val="000003DE"/>
    <w:rsid w:val="00015CE4"/>
    <w:rsid w:val="0002460E"/>
    <w:rsid w:val="00037FD3"/>
    <w:rsid w:val="000C7C28"/>
    <w:rsid w:val="000E54CA"/>
    <w:rsid w:val="000F6E3C"/>
    <w:rsid w:val="00117370"/>
    <w:rsid w:val="00153AD6"/>
    <w:rsid w:val="00155527"/>
    <w:rsid w:val="00157A82"/>
    <w:rsid w:val="001A30E0"/>
    <w:rsid w:val="001D24A7"/>
    <w:rsid w:val="001E1E31"/>
    <w:rsid w:val="002165F2"/>
    <w:rsid w:val="00220BAD"/>
    <w:rsid w:val="00250A11"/>
    <w:rsid w:val="00262AD1"/>
    <w:rsid w:val="0029282C"/>
    <w:rsid w:val="002C13D2"/>
    <w:rsid w:val="002D3F2D"/>
    <w:rsid w:val="002F0B70"/>
    <w:rsid w:val="00301F2C"/>
    <w:rsid w:val="00341C85"/>
    <w:rsid w:val="003755AE"/>
    <w:rsid w:val="00375DF5"/>
    <w:rsid w:val="003B46FE"/>
    <w:rsid w:val="00444F5D"/>
    <w:rsid w:val="004627CB"/>
    <w:rsid w:val="00476733"/>
    <w:rsid w:val="00491FF3"/>
    <w:rsid w:val="004A3CDE"/>
    <w:rsid w:val="004E2345"/>
    <w:rsid w:val="004E2384"/>
    <w:rsid w:val="004E2BB3"/>
    <w:rsid w:val="004F5835"/>
    <w:rsid w:val="004F6AAC"/>
    <w:rsid w:val="0051012D"/>
    <w:rsid w:val="005134EB"/>
    <w:rsid w:val="00535D5F"/>
    <w:rsid w:val="00554AB8"/>
    <w:rsid w:val="0057319B"/>
    <w:rsid w:val="00595BC6"/>
    <w:rsid w:val="005B6AFC"/>
    <w:rsid w:val="005D3A04"/>
    <w:rsid w:val="00603022"/>
    <w:rsid w:val="00684B9D"/>
    <w:rsid w:val="00685749"/>
    <w:rsid w:val="006873B4"/>
    <w:rsid w:val="00706AFB"/>
    <w:rsid w:val="00717AD8"/>
    <w:rsid w:val="007E159E"/>
    <w:rsid w:val="007E74B8"/>
    <w:rsid w:val="007F1584"/>
    <w:rsid w:val="007F5F12"/>
    <w:rsid w:val="008043A9"/>
    <w:rsid w:val="00820390"/>
    <w:rsid w:val="0085098F"/>
    <w:rsid w:val="008578A1"/>
    <w:rsid w:val="00880684"/>
    <w:rsid w:val="00897591"/>
    <w:rsid w:val="0092322F"/>
    <w:rsid w:val="00925A46"/>
    <w:rsid w:val="009434BF"/>
    <w:rsid w:val="0098793F"/>
    <w:rsid w:val="009C142D"/>
    <w:rsid w:val="009C41D0"/>
    <w:rsid w:val="009C749E"/>
    <w:rsid w:val="009D2FA2"/>
    <w:rsid w:val="009E298F"/>
    <w:rsid w:val="009F2C81"/>
    <w:rsid w:val="009F4F3E"/>
    <w:rsid w:val="00A007E9"/>
    <w:rsid w:val="00A014D8"/>
    <w:rsid w:val="00A073F6"/>
    <w:rsid w:val="00A20FE1"/>
    <w:rsid w:val="00A258EB"/>
    <w:rsid w:val="00A34DF4"/>
    <w:rsid w:val="00A368BB"/>
    <w:rsid w:val="00A76951"/>
    <w:rsid w:val="00A77B83"/>
    <w:rsid w:val="00AC67C7"/>
    <w:rsid w:val="00AE58A1"/>
    <w:rsid w:val="00B42832"/>
    <w:rsid w:val="00B66547"/>
    <w:rsid w:val="00B83691"/>
    <w:rsid w:val="00C22910"/>
    <w:rsid w:val="00C25D44"/>
    <w:rsid w:val="00C317CB"/>
    <w:rsid w:val="00C323F4"/>
    <w:rsid w:val="00C63071"/>
    <w:rsid w:val="00C64409"/>
    <w:rsid w:val="00C65E8B"/>
    <w:rsid w:val="00C716D0"/>
    <w:rsid w:val="00C960CE"/>
    <w:rsid w:val="00CA7882"/>
    <w:rsid w:val="00CD5872"/>
    <w:rsid w:val="00CE644E"/>
    <w:rsid w:val="00CF5EE9"/>
    <w:rsid w:val="00D348CD"/>
    <w:rsid w:val="00D61815"/>
    <w:rsid w:val="00D737E7"/>
    <w:rsid w:val="00D759DC"/>
    <w:rsid w:val="00DA65CE"/>
    <w:rsid w:val="00DF11DA"/>
    <w:rsid w:val="00E03332"/>
    <w:rsid w:val="00E80174"/>
    <w:rsid w:val="00E877D1"/>
    <w:rsid w:val="00E90F34"/>
    <w:rsid w:val="00EA42F1"/>
    <w:rsid w:val="00EB34F6"/>
    <w:rsid w:val="00EF2F2B"/>
    <w:rsid w:val="00F2293F"/>
    <w:rsid w:val="00F2641B"/>
    <w:rsid w:val="00F27447"/>
    <w:rsid w:val="00FA04E7"/>
    <w:rsid w:val="00FC0605"/>
    <w:rsid w:val="00FD49CA"/>
    <w:rsid w:val="00FF14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1735F50-5FD9-4ECA-856E-CC56CF32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92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29282C"/>
  </w:style>
  <w:style w:type="character" w:styleId="Hipervnculo">
    <w:name w:val="Hyperlink"/>
    <w:basedOn w:val="Fuentedeprrafopredeter"/>
    <w:uiPriority w:val="99"/>
    <w:unhideWhenUsed/>
    <w:rsid w:val="0029282C"/>
    <w:rPr>
      <w:color w:val="0000FF"/>
      <w:u w:val="single"/>
    </w:rPr>
  </w:style>
  <w:style w:type="character" w:styleId="Hipervnculovisitado">
    <w:name w:val="FollowedHyperlink"/>
    <w:basedOn w:val="Fuentedeprrafopredeter"/>
    <w:uiPriority w:val="99"/>
    <w:semiHidden/>
    <w:unhideWhenUsed/>
    <w:rsid w:val="0029282C"/>
    <w:rPr>
      <w:color w:val="800080"/>
      <w:u w:val="single"/>
    </w:rPr>
  </w:style>
  <w:style w:type="paragraph" w:styleId="Textodeglobo">
    <w:name w:val="Balloon Text"/>
    <w:basedOn w:val="Normal"/>
    <w:link w:val="TextodegloboCar"/>
    <w:uiPriority w:val="99"/>
    <w:semiHidden/>
    <w:unhideWhenUsed/>
    <w:rsid w:val="004A3C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CDE"/>
    <w:rPr>
      <w:rFonts w:ascii="Tahoma" w:hAnsi="Tahoma" w:cs="Tahoma"/>
      <w:sz w:val="16"/>
      <w:szCs w:val="16"/>
    </w:rPr>
  </w:style>
  <w:style w:type="character" w:styleId="Textoennegrita">
    <w:name w:val="Strong"/>
    <w:basedOn w:val="Fuentedeprrafopredeter"/>
    <w:uiPriority w:val="22"/>
    <w:qFormat/>
    <w:rsid w:val="004A3CDE"/>
    <w:rPr>
      <w:b/>
      <w:bCs/>
    </w:rPr>
  </w:style>
  <w:style w:type="table" w:styleId="Tablaconcuadrcula">
    <w:name w:val="Table Grid"/>
    <w:basedOn w:val="Tablanormal"/>
    <w:uiPriority w:val="59"/>
    <w:rsid w:val="0051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134EB"/>
    <w:pPr>
      <w:ind w:left="720"/>
      <w:contextualSpacing/>
    </w:pPr>
  </w:style>
  <w:style w:type="paragraph" w:styleId="Textonotapie">
    <w:name w:val="footnote text"/>
    <w:basedOn w:val="Normal"/>
    <w:link w:val="TextonotapieCar"/>
    <w:semiHidden/>
    <w:rsid w:val="00A258EB"/>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A258EB"/>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semiHidden/>
    <w:rsid w:val="00A258EB"/>
    <w:rPr>
      <w:vertAlign w:val="superscript"/>
    </w:rPr>
  </w:style>
  <w:style w:type="paragraph" w:styleId="Encabezado">
    <w:name w:val="header"/>
    <w:basedOn w:val="Normal"/>
    <w:link w:val="EncabezadoCar"/>
    <w:uiPriority w:val="99"/>
    <w:unhideWhenUsed/>
    <w:rsid w:val="00C65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5E8B"/>
  </w:style>
  <w:style w:type="paragraph" w:styleId="Piedepgina">
    <w:name w:val="footer"/>
    <w:basedOn w:val="Normal"/>
    <w:link w:val="PiedepginaCar"/>
    <w:uiPriority w:val="99"/>
    <w:unhideWhenUsed/>
    <w:rsid w:val="00C65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E8B"/>
  </w:style>
  <w:style w:type="paragraph" w:customStyle="1" w:styleId="Sinespaciado1">
    <w:name w:val="Sin espaciado1"/>
    <w:rsid w:val="00B83691"/>
    <w:pPr>
      <w:spacing w:after="0" w:line="240" w:lineRule="auto"/>
    </w:pPr>
    <w:rPr>
      <w:rFonts w:ascii="Calibri" w:eastAsia="Times New Roman" w:hAnsi="Calibri" w:cs="Calibri"/>
    </w:rPr>
  </w:style>
  <w:style w:type="character" w:customStyle="1" w:styleId="destacadoajletra14pt">
    <w:name w:val="destacado_aj_letra14pt"/>
    <w:basedOn w:val="Fuentedeprrafopredeter"/>
    <w:rsid w:val="00C22910"/>
  </w:style>
  <w:style w:type="paragraph" w:customStyle="1" w:styleId="centrado">
    <w:name w:val="centrado"/>
    <w:basedOn w:val="Normal"/>
    <w:rsid w:val="00C22910"/>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490">
      <w:bodyDiv w:val="1"/>
      <w:marLeft w:val="0"/>
      <w:marRight w:val="0"/>
      <w:marTop w:val="0"/>
      <w:marBottom w:val="0"/>
      <w:divBdr>
        <w:top w:val="none" w:sz="0" w:space="0" w:color="auto"/>
        <w:left w:val="none" w:sz="0" w:space="0" w:color="auto"/>
        <w:bottom w:val="none" w:sz="0" w:space="0" w:color="auto"/>
        <w:right w:val="none" w:sz="0" w:space="0" w:color="auto"/>
      </w:divBdr>
    </w:div>
    <w:div w:id="33818892">
      <w:bodyDiv w:val="1"/>
      <w:marLeft w:val="0"/>
      <w:marRight w:val="0"/>
      <w:marTop w:val="0"/>
      <w:marBottom w:val="0"/>
      <w:divBdr>
        <w:top w:val="none" w:sz="0" w:space="0" w:color="auto"/>
        <w:left w:val="none" w:sz="0" w:space="0" w:color="auto"/>
        <w:bottom w:val="none" w:sz="0" w:space="0" w:color="auto"/>
        <w:right w:val="none" w:sz="0" w:space="0" w:color="auto"/>
      </w:divBdr>
    </w:div>
    <w:div w:id="378289420">
      <w:bodyDiv w:val="1"/>
      <w:marLeft w:val="0"/>
      <w:marRight w:val="0"/>
      <w:marTop w:val="0"/>
      <w:marBottom w:val="0"/>
      <w:divBdr>
        <w:top w:val="none" w:sz="0" w:space="0" w:color="auto"/>
        <w:left w:val="none" w:sz="0" w:space="0" w:color="auto"/>
        <w:bottom w:val="none" w:sz="0" w:space="0" w:color="auto"/>
        <w:right w:val="none" w:sz="0" w:space="0" w:color="auto"/>
      </w:divBdr>
    </w:div>
    <w:div w:id="397020747">
      <w:bodyDiv w:val="1"/>
      <w:marLeft w:val="0"/>
      <w:marRight w:val="0"/>
      <w:marTop w:val="0"/>
      <w:marBottom w:val="0"/>
      <w:divBdr>
        <w:top w:val="none" w:sz="0" w:space="0" w:color="auto"/>
        <w:left w:val="none" w:sz="0" w:space="0" w:color="auto"/>
        <w:bottom w:val="none" w:sz="0" w:space="0" w:color="auto"/>
        <w:right w:val="none" w:sz="0" w:space="0" w:color="auto"/>
      </w:divBdr>
    </w:div>
    <w:div w:id="399518599">
      <w:bodyDiv w:val="1"/>
      <w:marLeft w:val="0"/>
      <w:marRight w:val="0"/>
      <w:marTop w:val="0"/>
      <w:marBottom w:val="0"/>
      <w:divBdr>
        <w:top w:val="none" w:sz="0" w:space="0" w:color="auto"/>
        <w:left w:val="none" w:sz="0" w:space="0" w:color="auto"/>
        <w:bottom w:val="none" w:sz="0" w:space="0" w:color="auto"/>
        <w:right w:val="none" w:sz="0" w:space="0" w:color="auto"/>
      </w:divBdr>
    </w:div>
    <w:div w:id="411200982">
      <w:bodyDiv w:val="1"/>
      <w:marLeft w:val="0"/>
      <w:marRight w:val="0"/>
      <w:marTop w:val="0"/>
      <w:marBottom w:val="0"/>
      <w:divBdr>
        <w:top w:val="none" w:sz="0" w:space="0" w:color="auto"/>
        <w:left w:val="none" w:sz="0" w:space="0" w:color="auto"/>
        <w:bottom w:val="none" w:sz="0" w:space="0" w:color="auto"/>
        <w:right w:val="none" w:sz="0" w:space="0" w:color="auto"/>
      </w:divBdr>
      <w:divsChild>
        <w:div w:id="527450828">
          <w:marLeft w:val="0"/>
          <w:marRight w:val="0"/>
          <w:marTop w:val="0"/>
          <w:marBottom w:val="0"/>
          <w:divBdr>
            <w:top w:val="none" w:sz="0" w:space="0" w:color="auto"/>
            <w:left w:val="none" w:sz="0" w:space="0" w:color="auto"/>
            <w:bottom w:val="none" w:sz="0" w:space="0" w:color="auto"/>
            <w:right w:val="none" w:sz="0" w:space="0" w:color="auto"/>
          </w:divBdr>
          <w:divsChild>
            <w:div w:id="17711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9369">
      <w:bodyDiv w:val="1"/>
      <w:marLeft w:val="0"/>
      <w:marRight w:val="0"/>
      <w:marTop w:val="0"/>
      <w:marBottom w:val="0"/>
      <w:divBdr>
        <w:top w:val="none" w:sz="0" w:space="0" w:color="auto"/>
        <w:left w:val="none" w:sz="0" w:space="0" w:color="auto"/>
        <w:bottom w:val="none" w:sz="0" w:space="0" w:color="auto"/>
        <w:right w:val="none" w:sz="0" w:space="0" w:color="auto"/>
      </w:divBdr>
    </w:div>
    <w:div w:id="721176654">
      <w:bodyDiv w:val="1"/>
      <w:marLeft w:val="0"/>
      <w:marRight w:val="0"/>
      <w:marTop w:val="0"/>
      <w:marBottom w:val="0"/>
      <w:divBdr>
        <w:top w:val="none" w:sz="0" w:space="0" w:color="auto"/>
        <w:left w:val="none" w:sz="0" w:space="0" w:color="auto"/>
        <w:bottom w:val="none" w:sz="0" w:space="0" w:color="auto"/>
        <w:right w:val="none" w:sz="0" w:space="0" w:color="auto"/>
      </w:divBdr>
    </w:div>
    <w:div w:id="1042748919">
      <w:bodyDiv w:val="1"/>
      <w:marLeft w:val="0"/>
      <w:marRight w:val="0"/>
      <w:marTop w:val="0"/>
      <w:marBottom w:val="0"/>
      <w:divBdr>
        <w:top w:val="none" w:sz="0" w:space="0" w:color="auto"/>
        <w:left w:val="none" w:sz="0" w:space="0" w:color="auto"/>
        <w:bottom w:val="none" w:sz="0" w:space="0" w:color="auto"/>
        <w:right w:val="none" w:sz="0" w:space="0" w:color="auto"/>
      </w:divBdr>
      <w:divsChild>
        <w:div w:id="2048941798">
          <w:marLeft w:val="0"/>
          <w:marRight w:val="0"/>
          <w:marTop w:val="0"/>
          <w:marBottom w:val="0"/>
          <w:divBdr>
            <w:top w:val="none" w:sz="0" w:space="0" w:color="auto"/>
            <w:left w:val="none" w:sz="0" w:space="0" w:color="auto"/>
            <w:bottom w:val="none" w:sz="0" w:space="0" w:color="auto"/>
            <w:right w:val="none" w:sz="0" w:space="0" w:color="auto"/>
          </w:divBdr>
          <w:divsChild>
            <w:div w:id="9243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987">
      <w:bodyDiv w:val="1"/>
      <w:marLeft w:val="0"/>
      <w:marRight w:val="0"/>
      <w:marTop w:val="0"/>
      <w:marBottom w:val="0"/>
      <w:divBdr>
        <w:top w:val="none" w:sz="0" w:space="0" w:color="auto"/>
        <w:left w:val="none" w:sz="0" w:space="0" w:color="auto"/>
        <w:bottom w:val="none" w:sz="0" w:space="0" w:color="auto"/>
        <w:right w:val="none" w:sz="0" w:space="0" w:color="auto"/>
      </w:divBdr>
    </w:div>
    <w:div w:id="1314679603">
      <w:bodyDiv w:val="1"/>
      <w:marLeft w:val="0"/>
      <w:marRight w:val="0"/>
      <w:marTop w:val="0"/>
      <w:marBottom w:val="0"/>
      <w:divBdr>
        <w:top w:val="none" w:sz="0" w:space="0" w:color="auto"/>
        <w:left w:val="none" w:sz="0" w:space="0" w:color="auto"/>
        <w:bottom w:val="none" w:sz="0" w:space="0" w:color="auto"/>
        <w:right w:val="none" w:sz="0" w:space="0" w:color="auto"/>
      </w:divBdr>
    </w:div>
    <w:div w:id="1512255080">
      <w:bodyDiv w:val="1"/>
      <w:marLeft w:val="0"/>
      <w:marRight w:val="0"/>
      <w:marTop w:val="0"/>
      <w:marBottom w:val="0"/>
      <w:divBdr>
        <w:top w:val="none" w:sz="0" w:space="0" w:color="auto"/>
        <w:left w:val="none" w:sz="0" w:space="0" w:color="auto"/>
        <w:bottom w:val="none" w:sz="0" w:space="0" w:color="auto"/>
        <w:right w:val="none" w:sz="0" w:space="0" w:color="auto"/>
      </w:divBdr>
    </w:div>
    <w:div w:id="1512451796">
      <w:bodyDiv w:val="1"/>
      <w:marLeft w:val="0"/>
      <w:marRight w:val="0"/>
      <w:marTop w:val="0"/>
      <w:marBottom w:val="0"/>
      <w:divBdr>
        <w:top w:val="none" w:sz="0" w:space="0" w:color="auto"/>
        <w:left w:val="none" w:sz="0" w:space="0" w:color="auto"/>
        <w:bottom w:val="none" w:sz="0" w:space="0" w:color="auto"/>
        <w:right w:val="none" w:sz="0" w:space="0" w:color="auto"/>
      </w:divBdr>
      <w:divsChild>
        <w:div w:id="886141572">
          <w:marLeft w:val="0"/>
          <w:marRight w:val="0"/>
          <w:marTop w:val="0"/>
          <w:marBottom w:val="0"/>
          <w:divBdr>
            <w:top w:val="none" w:sz="0" w:space="0" w:color="auto"/>
            <w:left w:val="none" w:sz="0" w:space="0" w:color="auto"/>
            <w:bottom w:val="none" w:sz="0" w:space="0" w:color="auto"/>
            <w:right w:val="none" w:sz="0" w:space="0" w:color="auto"/>
          </w:divBdr>
          <w:divsChild>
            <w:div w:id="18706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0841">
      <w:bodyDiv w:val="1"/>
      <w:marLeft w:val="0"/>
      <w:marRight w:val="0"/>
      <w:marTop w:val="0"/>
      <w:marBottom w:val="0"/>
      <w:divBdr>
        <w:top w:val="none" w:sz="0" w:space="0" w:color="auto"/>
        <w:left w:val="none" w:sz="0" w:space="0" w:color="auto"/>
        <w:bottom w:val="none" w:sz="0" w:space="0" w:color="auto"/>
        <w:right w:val="none" w:sz="0" w:space="0" w:color="auto"/>
      </w:divBdr>
    </w:div>
    <w:div w:id="1763254486">
      <w:bodyDiv w:val="1"/>
      <w:marLeft w:val="0"/>
      <w:marRight w:val="0"/>
      <w:marTop w:val="0"/>
      <w:marBottom w:val="0"/>
      <w:divBdr>
        <w:top w:val="none" w:sz="0" w:space="0" w:color="auto"/>
        <w:left w:val="none" w:sz="0" w:space="0" w:color="auto"/>
        <w:bottom w:val="none" w:sz="0" w:space="0" w:color="auto"/>
        <w:right w:val="none" w:sz="0" w:space="0" w:color="auto"/>
      </w:divBdr>
    </w:div>
    <w:div w:id="1792240091">
      <w:bodyDiv w:val="1"/>
      <w:marLeft w:val="0"/>
      <w:marRight w:val="0"/>
      <w:marTop w:val="0"/>
      <w:marBottom w:val="0"/>
      <w:divBdr>
        <w:top w:val="none" w:sz="0" w:space="0" w:color="auto"/>
        <w:left w:val="none" w:sz="0" w:space="0" w:color="auto"/>
        <w:bottom w:val="none" w:sz="0" w:space="0" w:color="auto"/>
        <w:right w:val="none" w:sz="0" w:space="0" w:color="auto"/>
      </w:divBdr>
      <w:divsChild>
        <w:div w:id="1533691148">
          <w:marLeft w:val="0"/>
          <w:marRight w:val="0"/>
          <w:marTop w:val="0"/>
          <w:marBottom w:val="0"/>
          <w:divBdr>
            <w:top w:val="none" w:sz="0" w:space="0" w:color="auto"/>
            <w:left w:val="none" w:sz="0" w:space="0" w:color="auto"/>
            <w:bottom w:val="none" w:sz="0" w:space="0" w:color="auto"/>
            <w:right w:val="none" w:sz="0" w:space="0" w:color="auto"/>
          </w:divBdr>
        </w:div>
        <w:div w:id="1820223987">
          <w:marLeft w:val="0"/>
          <w:marRight w:val="0"/>
          <w:marTop w:val="0"/>
          <w:marBottom w:val="0"/>
          <w:divBdr>
            <w:top w:val="none" w:sz="0" w:space="0" w:color="auto"/>
            <w:left w:val="none" w:sz="0" w:space="0" w:color="auto"/>
            <w:bottom w:val="none" w:sz="0" w:space="0" w:color="auto"/>
            <w:right w:val="none" w:sz="0" w:space="0" w:color="auto"/>
          </w:divBdr>
        </w:div>
        <w:div w:id="1218123181">
          <w:marLeft w:val="0"/>
          <w:marRight w:val="0"/>
          <w:marTop w:val="0"/>
          <w:marBottom w:val="0"/>
          <w:divBdr>
            <w:top w:val="none" w:sz="0" w:space="0" w:color="auto"/>
            <w:left w:val="none" w:sz="0" w:space="0" w:color="auto"/>
            <w:bottom w:val="none" w:sz="0" w:space="0" w:color="auto"/>
            <w:right w:val="none" w:sz="0" w:space="0" w:color="auto"/>
          </w:divBdr>
        </w:div>
        <w:div w:id="254411402">
          <w:marLeft w:val="0"/>
          <w:marRight w:val="0"/>
          <w:marTop w:val="0"/>
          <w:marBottom w:val="0"/>
          <w:divBdr>
            <w:top w:val="none" w:sz="0" w:space="0" w:color="auto"/>
            <w:left w:val="none" w:sz="0" w:space="0" w:color="auto"/>
            <w:bottom w:val="none" w:sz="0" w:space="0" w:color="auto"/>
            <w:right w:val="none" w:sz="0" w:space="0" w:color="auto"/>
          </w:divBdr>
        </w:div>
      </w:divsChild>
    </w:div>
    <w:div w:id="1974561472">
      <w:bodyDiv w:val="1"/>
      <w:marLeft w:val="0"/>
      <w:marRight w:val="0"/>
      <w:marTop w:val="0"/>
      <w:marBottom w:val="0"/>
      <w:divBdr>
        <w:top w:val="none" w:sz="0" w:space="0" w:color="auto"/>
        <w:left w:val="none" w:sz="0" w:space="0" w:color="auto"/>
        <w:bottom w:val="none" w:sz="0" w:space="0" w:color="auto"/>
        <w:right w:val="none" w:sz="0" w:space="0" w:color="auto"/>
      </w:divBdr>
    </w:div>
    <w:div w:id="19959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39" TargetMode="External"/><Relationship Id="rId13" Type="http://schemas.openxmlformats.org/officeDocument/2006/relationships/hyperlink" Target="http://www.alcaldiabogota.gov.co/sisjur/normas/Norma1.jsp?i=3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caldiabogota.gov.co/sisjur/normas/Norma1.jsp?i=33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339" TargetMode="External"/><Relationship Id="rId5" Type="http://schemas.openxmlformats.org/officeDocument/2006/relationships/webSettings" Target="webSettings.xml"/><Relationship Id="rId15" Type="http://schemas.openxmlformats.org/officeDocument/2006/relationships/hyperlink" Target="http://www.alcaldiabogota.gov.co/sisjur/normas/Norma1.jsp?i=8610" TargetMode="External"/><Relationship Id="rId10" Type="http://schemas.openxmlformats.org/officeDocument/2006/relationships/hyperlink" Target="http://www.alcaldiabogota.gov.co/sisjur/normas/Norma1.jsp?i=33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caldiabogota.gov.co/sisjur/normas/Norma1.jsp?i=339" TargetMode="External"/><Relationship Id="rId14" Type="http://schemas.openxmlformats.org/officeDocument/2006/relationships/hyperlink" Target="http://www.alcaldiabogota.gov.co/sisjur/normas/Norma1.jsp?i=1870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leisonpineda@angelesdepaz.com" TargetMode="External"/><Relationship Id="rId1" Type="http://schemas.openxmlformats.org/officeDocument/2006/relationships/hyperlink" Target="http://www.angelesdepa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921B9-3695-41E8-BEB3-2086C742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6729</Words>
  <Characters>37013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gpineda</dc:creator>
  <cp:lastModifiedBy>Gleison Pineda Castro</cp:lastModifiedBy>
  <cp:revision>5</cp:revision>
  <cp:lastPrinted>2014-11-07T19:04:00Z</cp:lastPrinted>
  <dcterms:created xsi:type="dcterms:W3CDTF">2015-01-17T22:07:00Z</dcterms:created>
  <dcterms:modified xsi:type="dcterms:W3CDTF">2016-09-07T18:21:00Z</dcterms:modified>
</cp:coreProperties>
</file>